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FDC16B" w14:textId="77777777" w:rsidR="00D03615" w:rsidRPr="00132E52" w:rsidRDefault="00D03615" w:rsidP="00D03615">
      <w:pPr>
        <w:contextualSpacing/>
        <w:rPr>
          <w:sz w:val="24"/>
          <w:szCs w:val="24"/>
        </w:rPr>
      </w:pPr>
    </w:p>
    <w:p w14:paraId="3EF1FA9E" w14:textId="77777777" w:rsidR="00D03615" w:rsidRPr="00132E52" w:rsidRDefault="00D03615" w:rsidP="00D03615">
      <w:pPr>
        <w:contextualSpacing/>
        <w:rPr>
          <w:sz w:val="24"/>
          <w:szCs w:val="24"/>
        </w:rPr>
      </w:pPr>
    </w:p>
    <w:p w14:paraId="64284395" w14:textId="77777777" w:rsidR="00D03615" w:rsidRDefault="00D03615" w:rsidP="00D03615">
      <w:pPr>
        <w:contextualSpacing/>
        <w:rPr>
          <w:sz w:val="24"/>
          <w:szCs w:val="24"/>
        </w:rPr>
      </w:pPr>
    </w:p>
    <w:p w14:paraId="77B59034" w14:textId="77777777" w:rsidR="00D03615" w:rsidRDefault="00D03615" w:rsidP="00D03615">
      <w:pPr>
        <w:contextualSpacing/>
        <w:rPr>
          <w:sz w:val="24"/>
          <w:szCs w:val="24"/>
        </w:rPr>
      </w:pPr>
    </w:p>
    <w:p w14:paraId="0B6A1C5F" w14:textId="77777777" w:rsidR="00D03615" w:rsidRPr="00132E52" w:rsidRDefault="00D03615" w:rsidP="00D03615">
      <w:pPr>
        <w:contextualSpacing/>
        <w:rPr>
          <w:sz w:val="24"/>
          <w:szCs w:val="24"/>
        </w:rPr>
      </w:pPr>
    </w:p>
    <w:p w14:paraId="00CF1732" w14:textId="77777777" w:rsidR="00D03615" w:rsidRPr="00132E52" w:rsidRDefault="00D03615" w:rsidP="00D03615">
      <w:pPr>
        <w:contextualSpacing/>
        <w:rPr>
          <w:sz w:val="24"/>
          <w:szCs w:val="24"/>
        </w:rPr>
      </w:pPr>
    </w:p>
    <w:p w14:paraId="23B992DC" w14:textId="77777777" w:rsidR="00D03615" w:rsidRPr="00132E52" w:rsidRDefault="00D03615" w:rsidP="00D03615">
      <w:pPr>
        <w:contextualSpacing/>
        <w:rPr>
          <w:sz w:val="24"/>
          <w:szCs w:val="24"/>
        </w:rPr>
      </w:pPr>
    </w:p>
    <w:p w14:paraId="2143D685" w14:textId="77777777" w:rsidR="00D03615" w:rsidRPr="00132E52" w:rsidRDefault="00D03615" w:rsidP="00D03615">
      <w:pPr>
        <w:contextualSpacing/>
        <w:rPr>
          <w:sz w:val="24"/>
          <w:szCs w:val="24"/>
        </w:rPr>
      </w:pPr>
    </w:p>
    <w:p w14:paraId="42896E11" w14:textId="77777777" w:rsidR="00A140F0" w:rsidRPr="00A140F0" w:rsidRDefault="00A140F0" w:rsidP="00A140F0">
      <w:pPr>
        <w:numPr>
          <w:ilvl w:val="12"/>
          <w:numId w:val="0"/>
        </w:numPr>
        <w:tabs>
          <w:tab w:val="right" w:pos="1718"/>
        </w:tabs>
        <w:jc w:val="center"/>
      </w:pPr>
      <w:r w:rsidRPr="00A140F0">
        <w:rPr>
          <w:bCs/>
        </w:rPr>
        <w:t>C</w:t>
      </w:r>
      <w:r>
        <w:rPr>
          <w:bCs/>
        </w:rPr>
        <w:t>omplete M</w:t>
      </w:r>
      <w:r w:rsidRPr="00A140F0">
        <w:rPr>
          <w:bCs/>
        </w:rPr>
        <w:t>emorandum</w:t>
      </w:r>
    </w:p>
    <w:p w14:paraId="2D5057C8" w14:textId="77777777" w:rsidR="00D03615" w:rsidRDefault="00A140F0" w:rsidP="00A140F0">
      <w:pPr>
        <w:contextualSpacing/>
        <w:jc w:val="center"/>
        <w:rPr>
          <w:sz w:val="24"/>
          <w:szCs w:val="24"/>
        </w:rPr>
      </w:pPr>
      <w:r>
        <w:t xml:space="preserve"> 4/11/12</w:t>
      </w:r>
    </w:p>
    <w:p w14:paraId="7E446E77" w14:textId="77777777" w:rsidR="00A140F0" w:rsidRDefault="008F7705" w:rsidP="00A140F0">
      <w:pPr>
        <w:contextualSpacing/>
        <w:jc w:val="center"/>
      </w:pPr>
      <w:r>
        <w:t>&lt;</w:t>
      </w:r>
      <w:proofErr w:type="gramStart"/>
      <w:r>
        <w:t>redacted</w:t>
      </w:r>
      <w:proofErr w:type="gramEnd"/>
      <w:r>
        <w:t>&gt;&lt;/redacted&gt;</w:t>
      </w:r>
    </w:p>
    <w:p w14:paraId="224ED121" w14:textId="77777777" w:rsidR="00D03615" w:rsidRDefault="008F7705" w:rsidP="00A140F0">
      <w:pPr>
        <w:contextualSpacing/>
        <w:jc w:val="center"/>
        <w:rPr>
          <w:sz w:val="24"/>
          <w:szCs w:val="24"/>
        </w:rPr>
      </w:pPr>
      <w:r>
        <w:t>&lt;</w:t>
      </w:r>
      <w:proofErr w:type="gramStart"/>
      <w:r>
        <w:t>redacted</w:t>
      </w:r>
      <w:proofErr w:type="gramEnd"/>
      <w:r>
        <w:t>&gt;&lt;/redacted&gt;</w:t>
      </w:r>
    </w:p>
    <w:p w14:paraId="44B9A93E" w14:textId="77777777" w:rsidR="00A70DFB" w:rsidRDefault="00D03615" w:rsidP="00A82878">
      <w:pPr>
        <w:contextualSpacing/>
        <w:jc w:val="center"/>
      </w:pPr>
      <w:r>
        <w:t xml:space="preserve">I certify that the attached document contains </w:t>
      </w:r>
      <w:r>
        <w:softHyphen/>
      </w:r>
      <w:r>
        <w:softHyphen/>
      </w:r>
      <w:r>
        <w:softHyphen/>
      </w:r>
      <w:r w:rsidR="00B55DE7">
        <w:t>4,</w:t>
      </w:r>
      <w:r w:rsidR="00423962">
        <w:t>199</w:t>
      </w:r>
      <w:r>
        <w:t xml:space="preserve"> words.</w:t>
      </w:r>
    </w:p>
    <w:p w14:paraId="219E8997" w14:textId="77777777" w:rsidR="00A70DFB" w:rsidRDefault="00A82878" w:rsidP="00A70DFB">
      <w:pPr>
        <w:contextualSpacing/>
      </w:pPr>
      <w:r>
        <w:t xml:space="preserve"> </w:t>
      </w:r>
    </w:p>
    <w:p w14:paraId="5A112611" w14:textId="77777777" w:rsidR="00A70DFB" w:rsidRDefault="00A70DFB">
      <w:r>
        <w:br w:type="page"/>
      </w:r>
    </w:p>
    <w:p w14:paraId="5EEE4D90" w14:textId="77777777" w:rsidR="00A70DFB" w:rsidRDefault="00A70DFB" w:rsidP="00A70DFB">
      <w:pPr>
        <w:pStyle w:val="NoSpacing"/>
      </w:pPr>
      <w:r>
        <w:lastRenderedPageBreak/>
        <w:t>STATE OF MINNESOTA</w:t>
      </w:r>
      <w:r>
        <w:tab/>
      </w:r>
      <w:r>
        <w:tab/>
      </w:r>
      <w:r>
        <w:tab/>
      </w:r>
      <w:r>
        <w:tab/>
        <w:t xml:space="preserve">        DISTRICT COURT</w:t>
      </w:r>
    </w:p>
    <w:p w14:paraId="77228306" w14:textId="77777777" w:rsidR="00A70DFB" w:rsidRDefault="00A70DFB" w:rsidP="00A70DFB">
      <w:pPr>
        <w:pStyle w:val="NoSpacing"/>
      </w:pPr>
    </w:p>
    <w:p w14:paraId="020964BC" w14:textId="77777777" w:rsidR="00A70DFB" w:rsidRDefault="00A70DFB" w:rsidP="00A70DFB">
      <w:pPr>
        <w:pStyle w:val="NoSpacing"/>
      </w:pPr>
      <w:r>
        <w:t>COUNTY OF RAMSEY</w:t>
      </w:r>
      <w:r>
        <w:tab/>
      </w:r>
      <w:r>
        <w:tab/>
      </w:r>
      <w:r>
        <w:tab/>
        <w:t xml:space="preserve">       SECOND JUDICIAL DISTRICT</w:t>
      </w:r>
    </w:p>
    <w:p w14:paraId="3D6A34F9" w14:textId="77777777" w:rsidR="00A70DFB" w:rsidRPr="00CC3D2D" w:rsidRDefault="00CC3D2D" w:rsidP="00A70DFB">
      <w:pPr>
        <w:pStyle w:val="NoSpacing"/>
        <w:rPr>
          <w:strike/>
        </w:rPr>
      </w:pPr>
      <w:r>
        <w:rPr>
          <w:noProof/>
        </w:rPr>
        <mc:AlternateContent>
          <mc:Choice Requires="wps">
            <w:drawing>
              <wp:anchor distT="0" distB="0" distL="114300" distR="114300" simplePos="0" relativeHeight="251659264" behindDoc="0" locked="0" layoutInCell="1" allowOverlap="1" wp14:anchorId="74C33142" wp14:editId="7F45A436">
                <wp:simplePos x="0" y="0"/>
                <wp:positionH relativeFrom="column">
                  <wp:posOffset>-19050</wp:posOffset>
                </wp:positionH>
                <wp:positionV relativeFrom="paragraph">
                  <wp:posOffset>100965</wp:posOffset>
                </wp:positionV>
                <wp:extent cx="5524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524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7.95pt" to="433.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" strokecolor="black [3213]"/>
            </w:pict>
          </mc:Fallback>
        </mc:AlternateConten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p>
    <w:p w14:paraId="2E7F0289" w14:textId="77777777" w:rsidR="00A70DFB" w:rsidRDefault="00A70DFB" w:rsidP="00A70DFB">
      <w:pPr>
        <w:pStyle w:val="NoSpacing"/>
      </w:pPr>
      <w:r>
        <w:t>Paul Palumbo,</w:t>
      </w:r>
    </w:p>
    <w:p w14:paraId="59911696" w14:textId="77777777" w:rsidR="00A70DFB" w:rsidRDefault="00A70DFB" w:rsidP="00A70DFB">
      <w:pPr>
        <w:pStyle w:val="NoSpacing"/>
        <w:jc w:val="right"/>
      </w:pPr>
      <w:r>
        <w:t>Court File No. 65-A5-11-000652</w:t>
      </w:r>
    </w:p>
    <w:p w14:paraId="2E1C6A03" w14:textId="77777777" w:rsidR="00A70DFB" w:rsidRDefault="00A70DFB" w:rsidP="00A70DFB">
      <w:pPr>
        <w:pStyle w:val="NoSpacing"/>
        <w:jc w:val="right"/>
      </w:pPr>
      <w:r>
        <w:t>Case Type: Personal Injury</w:t>
      </w:r>
    </w:p>
    <w:p w14:paraId="131BAFB0" w14:textId="77777777" w:rsidR="00A70DFB" w:rsidRDefault="00A70DFB" w:rsidP="00A70DFB">
      <w:pPr>
        <w:pStyle w:val="NoSpacing"/>
      </w:pPr>
      <w:r>
        <w:tab/>
      </w:r>
      <w:r>
        <w:tab/>
        <w:t>Plaintiff,</w:t>
      </w:r>
    </w:p>
    <w:p w14:paraId="282FA810" w14:textId="77777777" w:rsidR="00A70DFB" w:rsidRDefault="00A70DFB" w:rsidP="00A70DFB">
      <w:pPr>
        <w:pStyle w:val="NoSpacing"/>
      </w:pPr>
    </w:p>
    <w:p w14:paraId="474F3F56" w14:textId="77777777" w:rsidR="00A70DFB" w:rsidRPr="009B5218" w:rsidRDefault="005F29C7" w:rsidP="00A70DFB">
      <w:pPr>
        <w:pStyle w:val="NoSpacing"/>
        <w:ind w:left="1440" w:hanging="720"/>
        <w:jc w:val="right"/>
        <w:rPr>
          <w:b/>
        </w:rPr>
      </w:pPr>
      <w:r>
        <w:t>v</w:t>
      </w:r>
      <w:r w:rsidR="00A70DFB">
        <w:t>.</w:t>
      </w:r>
      <w:r w:rsidR="00A70DFB">
        <w:tab/>
      </w:r>
      <w:r w:rsidR="00A70DFB">
        <w:tab/>
      </w:r>
      <w:r w:rsidR="00A70DFB">
        <w:tab/>
      </w:r>
      <w:r w:rsidR="00A70DFB">
        <w:tab/>
      </w:r>
      <w:r w:rsidR="00A70DFB">
        <w:tab/>
        <w:t xml:space="preserve">    </w:t>
      </w:r>
      <w:r w:rsidR="00A70DFB">
        <w:rPr>
          <w:b/>
        </w:rPr>
        <w:t xml:space="preserve">PLAINTIFF’S MEMORANDUM                     </w:t>
      </w:r>
    </w:p>
    <w:p w14:paraId="463D91B2" w14:textId="77777777" w:rsidR="00A70DFB" w:rsidRPr="00F00270" w:rsidRDefault="00921873" w:rsidP="00A70DFB">
      <w:pPr>
        <w:pStyle w:val="NoSpacing"/>
        <w:ind w:left="4320"/>
        <w:rPr>
          <w:b/>
        </w:rPr>
      </w:pPr>
      <w:r>
        <w:rPr>
          <w:b/>
        </w:rPr>
        <w:t xml:space="preserve">    </w:t>
      </w:r>
      <w:r w:rsidR="00A70DFB">
        <w:rPr>
          <w:b/>
        </w:rPr>
        <w:t xml:space="preserve">OPPOSING MOTION FOR </w:t>
      </w:r>
    </w:p>
    <w:p w14:paraId="430B3022" w14:textId="77777777" w:rsidR="00A70DFB" w:rsidRPr="00635FCA" w:rsidRDefault="00A70DFB" w:rsidP="00A70DFB">
      <w:pPr>
        <w:pStyle w:val="NoSpacing"/>
        <w:rPr>
          <w:b/>
        </w:rPr>
      </w:pPr>
      <w:r>
        <w:t>St. Paul S</w:t>
      </w:r>
      <w:r w:rsidR="00921873">
        <w:t>luggers, a Minnesota</w:t>
      </w:r>
      <w:r w:rsidR="00921873">
        <w:tab/>
      </w:r>
      <w:r w:rsidR="00921873">
        <w:tab/>
        <w:t xml:space="preserve">     </w:t>
      </w:r>
      <w:r>
        <w:rPr>
          <w:b/>
        </w:rPr>
        <w:t>SUMMARY JUDGMENT</w:t>
      </w:r>
    </w:p>
    <w:p w14:paraId="1F42535B" w14:textId="77777777" w:rsidR="00A70DFB" w:rsidRDefault="00A70DFB" w:rsidP="00A70DFB">
      <w:pPr>
        <w:pStyle w:val="NoSpacing"/>
      </w:pPr>
      <w:r>
        <w:t>Corporation,</w:t>
      </w:r>
    </w:p>
    <w:p w14:paraId="4E849D14" w14:textId="77777777" w:rsidR="00A70DFB" w:rsidRDefault="00A70DFB" w:rsidP="00A70DFB">
      <w:pPr>
        <w:pStyle w:val="NoSpacing"/>
      </w:pPr>
    </w:p>
    <w:p w14:paraId="508AEBFF" w14:textId="77777777" w:rsidR="00A70DFB" w:rsidRDefault="00A70DFB" w:rsidP="00A70DFB">
      <w:pPr>
        <w:pStyle w:val="NoSpacing"/>
      </w:pPr>
      <w:r>
        <w:tab/>
      </w:r>
      <w:r>
        <w:tab/>
        <w:t>Defendant.</w:t>
      </w:r>
    </w:p>
    <w:p w14:paraId="7C8C6668" w14:textId="77777777" w:rsidR="006B45DE" w:rsidRDefault="006B45DE" w:rsidP="00A70DFB">
      <w:pPr>
        <w:pStyle w:val="NoSpacing"/>
      </w:pPr>
      <w:r>
        <w:rPr>
          <w:noProof/>
        </w:rPr>
        <mc:AlternateContent>
          <mc:Choice Requires="wps">
            <w:drawing>
              <wp:anchor distT="0" distB="0" distL="114300" distR="114300" simplePos="0" relativeHeight="251660288" behindDoc="0" locked="0" layoutInCell="1" allowOverlap="1" wp14:anchorId="2DB9B9E8" wp14:editId="491DD0B9">
                <wp:simplePos x="0" y="0"/>
                <wp:positionH relativeFrom="column">
                  <wp:posOffset>-19050</wp:posOffset>
                </wp:positionH>
                <wp:positionV relativeFrom="paragraph">
                  <wp:posOffset>85725</wp:posOffset>
                </wp:positionV>
                <wp:extent cx="56197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5619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pt,6.75pt" to="441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" strokecolor="black [3213]"/>
            </w:pict>
          </mc:Fallback>
        </mc:AlternateContent>
      </w:r>
    </w:p>
    <w:p w14:paraId="31419CA4" w14:textId="77777777" w:rsidR="00A70DFB" w:rsidRPr="00B512F9" w:rsidRDefault="00B512F9" w:rsidP="00A70DFB">
      <w:pPr>
        <w:pStyle w:val="NoSpacing"/>
        <w:spacing w:line="480" w:lineRule="auto"/>
        <w:jc w:val="center"/>
        <w:rPr>
          <w:b/>
          <w:u w:val="single"/>
        </w:rPr>
      </w:pPr>
      <w:r w:rsidRPr="00B512F9">
        <w:rPr>
          <w:b/>
          <w:u w:val="single"/>
        </w:rPr>
        <w:t>STATEMENT OF CASE</w:t>
      </w:r>
    </w:p>
    <w:p w14:paraId="3D2318F8" w14:textId="77777777" w:rsidR="00A70DFB" w:rsidRDefault="00A70DFB" w:rsidP="00A70DFB">
      <w:pPr>
        <w:pStyle w:val="NoSpacing"/>
        <w:spacing w:line="480" w:lineRule="auto"/>
      </w:pPr>
      <w:r>
        <w:tab/>
        <w:t>While attending a St. Paul Sluggers baseball game, Plaintiff was distracted by scantily clad dancers performin</w:t>
      </w:r>
      <w:r w:rsidR="006F73FC">
        <w:t>g in the stadium’s aisles. While</w:t>
      </w:r>
      <w:r>
        <w:t xml:space="preserve"> his attention was diverted, Plaintiff was struck by a foul ball and suffered serious injuries, including permanent loss of sight in his left eye. Plaintiff subs</w:t>
      </w:r>
      <w:r w:rsidR="006F73FC">
        <w:t>equently sued Defendant for</w:t>
      </w:r>
      <w:r>
        <w:t xml:space="preserve"> negligence</w:t>
      </w:r>
      <w:r w:rsidR="006F73FC">
        <w:t xml:space="preserve"> in creating the distraction that resulted in Plaintiff’s injuries</w:t>
      </w:r>
      <w:r>
        <w:t>.</w:t>
      </w:r>
    </w:p>
    <w:p w14:paraId="0681B053" w14:textId="77777777" w:rsidR="00A70DFB" w:rsidRDefault="00A70DFB" w:rsidP="00144746">
      <w:pPr>
        <w:pStyle w:val="NoSpacing"/>
        <w:spacing w:line="480" w:lineRule="auto"/>
        <w:ind w:firstLine="720"/>
      </w:pPr>
      <w:r>
        <w:t xml:space="preserve">Defendant seeks summary judgment on the basis of primary assumption of risk. </w:t>
      </w:r>
      <w:r w:rsidR="00144746">
        <w:t>A genuine issue</w:t>
      </w:r>
      <w:r>
        <w:t xml:space="preserve"> of material fact exist</w:t>
      </w:r>
      <w:r w:rsidR="00144746">
        <w:t>s</w:t>
      </w:r>
      <w:r w:rsidR="009E0C9E">
        <w:t xml:space="preserve"> as </w:t>
      </w:r>
      <w:r>
        <w:t xml:space="preserve">Defendant asserts that Plaintiff appreciated the risk </w:t>
      </w:r>
      <w:r w:rsidR="00144746">
        <w:t xml:space="preserve">of distraction </w:t>
      </w:r>
      <w:r>
        <w:t xml:space="preserve">posed by </w:t>
      </w:r>
      <w:r w:rsidR="00D46D58">
        <w:t>Defendant’s</w:t>
      </w:r>
      <w:r>
        <w:t xml:space="preserve"> employees. This factual assertion is strenuously denied by Plaintiff, and a </w:t>
      </w:r>
      <w:r>
        <w:lastRenderedPageBreak/>
        <w:t>determination of the issue is n</w:t>
      </w:r>
      <w:r w:rsidR="00847AEE">
        <w:t>ecessary to resolve issues pertaining to</w:t>
      </w:r>
      <w:r w:rsidR="002114E4">
        <w:t xml:space="preserve"> </w:t>
      </w:r>
      <w:r>
        <w:t>primary assumption of risk.</w:t>
      </w:r>
    </w:p>
    <w:p w14:paraId="3856058B" w14:textId="77777777" w:rsidR="00A70DFB" w:rsidRDefault="00A70DFB" w:rsidP="00A70DFB">
      <w:pPr>
        <w:pStyle w:val="NoSpacing"/>
        <w:spacing w:line="480" w:lineRule="auto"/>
      </w:pPr>
      <w:r>
        <w:tab/>
        <w:t>While Plaintiff did assume the obvious risks posed by watching a baseball game, his injuries were not solely the result of risks incidental to baseball. Rather his injuries resulted from being distracted by D</w:t>
      </w:r>
      <w:r w:rsidR="00847AEE">
        <w:t>efendant’s employees. Defendant</w:t>
      </w:r>
      <w:r>
        <w:t xml:space="preserve"> needlessly increased the risks to which Plaint</w:t>
      </w:r>
      <w:r w:rsidR="00847AEE">
        <w:t>iff was exposed and the risks</w:t>
      </w:r>
      <w:r>
        <w:t xml:space="preserve"> exceeded those assumed by Plaintiff in attending the game.</w:t>
      </w:r>
    </w:p>
    <w:p w14:paraId="571F7179" w14:textId="77777777" w:rsidR="00A70DFB" w:rsidRPr="004350FD" w:rsidRDefault="00A70DFB" w:rsidP="00A70DFB">
      <w:pPr>
        <w:pStyle w:val="NoSpacing"/>
        <w:spacing w:line="480" w:lineRule="auto"/>
        <w:ind w:firstLine="720"/>
      </w:pPr>
      <w:r>
        <w:t>As Plaintiff’s claim is not barred by primary assumption of risk, Defendant’s motion for summary judgment should be denied.</w:t>
      </w:r>
    </w:p>
    <w:p w14:paraId="6C510FD6" w14:textId="77777777" w:rsidR="00A70DFB" w:rsidRPr="00B512F9" w:rsidRDefault="00B512F9" w:rsidP="00A70DFB">
      <w:pPr>
        <w:pStyle w:val="NoSpacing"/>
        <w:spacing w:line="480" w:lineRule="auto"/>
        <w:jc w:val="center"/>
        <w:rPr>
          <w:b/>
          <w:u w:val="single"/>
        </w:rPr>
      </w:pPr>
      <w:r w:rsidRPr="00B512F9">
        <w:rPr>
          <w:b/>
          <w:u w:val="single"/>
        </w:rPr>
        <w:t xml:space="preserve">LEGAL </w:t>
      </w:r>
      <w:r w:rsidR="00A70DFB" w:rsidRPr="00B512F9">
        <w:rPr>
          <w:b/>
          <w:u w:val="single"/>
        </w:rPr>
        <w:t>ISSUES</w:t>
      </w:r>
    </w:p>
    <w:p w14:paraId="7CD97F9F" w14:textId="77777777" w:rsidR="00A70DFB" w:rsidRDefault="00A70DFB" w:rsidP="00A70DFB">
      <w:pPr>
        <w:pStyle w:val="NoSpacing"/>
        <w:spacing w:line="480" w:lineRule="auto"/>
      </w:pPr>
      <w:r>
        <w:t>I.</w:t>
      </w:r>
      <w:r>
        <w:tab/>
      </w:r>
      <w:r w:rsidR="005B12E5">
        <w:t>Did Defendant breach its</w:t>
      </w:r>
      <w:r w:rsidR="00954FB5">
        <w:t xml:space="preserve"> duty of </w:t>
      </w:r>
      <w:r w:rsidR="00532F42">
        <w:t xml:space="preserve">reasonable </w:t>
      </w:r>
      <w:r w:rsidR="00954FB5">
        <w:t>care?</w:t>
      </w:r>
    </w:p>
    <w:p w14:paraId="3F01F2C5" w14:textId="77777777" w:rsidR="00A70DFB" w:rsidRDefault="00A70DFB" w:rsidP="00A70DFB">
      <w:pPr>
        <w:pStyle w:val="NoSpacing"/>
        <w:spacing w:line="480" w:lineRule="auto"/>
      </w:pPr>
      <w:r>
        <w:t>II.</w:t>
      </w:r>
      <w:r>
        <w:tab/>
        <w:t xml:space="preserve">Did </w:t>
      </w:r>
      <w:r w:rsidR="00954FB5">
        <w:t>Plaintiff primarily assume the risk that resulted in injury?</w:t>
      </w:r>
    </w:p>
    <w:p w14:paraId="48CB3AB8" w14:textId="77777777" w:rsidR="00A70DFB" w:rsidRDefault="00A70DFB" w:rsidP="00A70DFB">
      <w:pPr>
        <w:pStyle w:val="NoSpacing"/>
        <w:spacing w:line="480" w:lineRule="auto"/>
      </w:pPr>
      <w:r>
        <w:t>III.</w:t>
      </w:r>
      <w:r>
        <w:tab/>
      </w:r>
      <w:r w:rsidR="00954FB5">
        <w:t xml:space="preserve">Should Plaintiff be charged with assumption of the </w:t>
      </w:r>
      <w:r w:rsidR="00DB5276">
        <w:t xml:space="preserve">risk that resulted in injury </w:t>
      </w:r>
      <w:r w:rsidR="00954FB5">
        <w:t>as a matter of law?</w:t>
      </w:r>
    </w:p>
    <w:p w14:paraId="379885CD" w14:textId="77777777" w:rsidR="00A70DFB" w:rsidRPr="00B512F9" w:rsidRDefault="00A70DFB" w:rsidP="00A70DFB">
      <w:pPr>
        <w:pStyle w:val="NoSpacing"/>
        <w:spacing w:line="480" w:lineRule="auto"/>
        <w:jc w:val="center"/>
        <w:rPr>
          <w:b/>
          <w:u w:val="single"/>
        </w:rPr>
      </w:pPr>
      <w:r w:rsidRPr="00B512F9">
        <w:rPr>
          <w:b/>
          <w:u w:val="single"/>
        </w:rPr>
        <w:t>SUMMARY JUDGEMENT STANDARD</w:t>
      </w:r>
    </w:p>
    <w:p w14:paraId="7151E4F5" w14:textId="77777777" w:rsidR="00532F42" w:rsidRDefault="00A70DFB" w:rsidP="005075C6">
      <w:pPr>
        <w:pStyle w:val="NoSpacing"/>
        <w:spacing w:line="480" w:lineRule="auto"/>
        <w:ind w:firstLine="720"/>
        <w:rPr>
          <w:bCs/>
        </w:rPr>
      </w:pPr>
      <w:r>
        <w:t>Summary judgment should be granted only if the Court finds that “</w:t>
      </w:r>
      <w:r w:rsidRPr="00A4291A">
        <w:t>there is no genuine issue as to any material fact</w:t>
      </w:r>
      <w:r>
        <w:t>.” (Minn. R. Civ. P. 56.03 (2010).) “</w:t>
      </w:r>
      <w:r w:rsidRPr="00A4291A">
        <w:t>A material fact is one of such a nature as will affect the result or ou</w:t>
      </w:r>
      <w:r>
        <w:t xml:space="preserve">tcome of the case depending on </w:t>
      </w:r>
      <w:r w:rsidRPr="00A4291A">
        <w:t>its resolution.</w:t>
      </w:r>
      <w:r w:rsidR="00B6221C">
        <w:t xml:space="preserve">” </w:t>
      </w:r>
      <w:r w:rsidRPr="001D1DAD">
        <w:rPr>
          <w:bCs/>
          <w:i/>
        </w:rPr>
        <w:t>Zappa v. Fahey</w:t>
      </w:r>
      <w:r>
        <w:rPr>
          <w:bCs/>
        </w:rPr>
        <w:t xml:space="preserve">, 245 </w:t>
      </w:r>
      <w:r>
        <w:rPr>
          <w:bCs/>
        </w:rPr>
        <w:lastRenderedPageBreak/>
        <w:t>N</w:t>
      </w:r>
      <w:r w:rsidR="00B6221C">
        <w:rPr>
          <w:bCs/>
        </w:rPr>
        <w:t xml:space="preserve">.W.2d 258, 259-60 (Minn. 1976). </w:t>
      </w:r>
      <w:r w:rsidR="003528B9">
        <w:rPr>
          <w:bCs/>
        </w:rPr>
        <w:t>“</w:t>
      </w:r>
      <w:r w:rsidR="00686A40" w:rsidRPr="00686A40">
        <w:rPr>
          <w:bCs/>
        </w:rPr>
        <w:t>It is essential to bear in mind that the moving party has the burden of proof and that the nonmoving part</w:t>
      </w:r>
      <w:r w:rsidR="00686A40">
        <w:rPr>
          <w:bCs/>
        </w:rPr>
        <w:t xml:space="preserve">y has the benefit of that view </w:t>
      </w:r>
      <w:r w:rsidR="00686A40" w:rsidRPr="00686A40">
        <w:rPr>
          <w:bCs/>
        </w:rPr>
        <w:t>of the evidence which is most favorable to him.</w:t>
      </w:r>
      <w:r w:rsidR="00686A40">
        <w:rPr>
          <w:bCs/>
        </w:rPr>
        <w:t xml:space="preserve">” </w:t>
      </w:r>
      <w:r w:rsidR="00686A40" w:rsidRPr="00686A40">
        <w:rPr>
          <w:bCs/>
          <w:i/>
        </w:rPr>
        <w:t>Sauter v. Sauter</w:t>
      </w:r>
      <w:r w:rsidR="00686A40">
        <w:rPr>
          <w:bCs/>
        </w:rPr>
        <w:t>, 70 N.W.2d 351,</w:t>
      </w:r>
      <w:r w:rsidR="00CA7A8F">
        <w:rPr>
          <w:bCs/>
        </w:rPr>
        <w:t xml:space="preserve"> 353</w:t>
      </w:r>
      <w:r w:rsidR="00686A40">
        <w:rPr>
          <w:bCs/>
        </w:rPr>
        <w:t xml:space="preserve"> (Minn. 1955).</w:t>
      </w:r>
    </w:p>
    <w:p w14:paraId="6DC982E3" w14:textId="77777777" w:rsidR="00FB772F" w:rsidRDefault="00C069E7" w:rsidP="005075C6">
      <w:pPr>
        <w:pStyle w:val="NoSpacing"/>
        <w:spacing w:line="480" w:lineRule="auto"/>
        <w:ind w:firstLine="720"/>
        <w:rPr>
          <w:bCs/>
        </w:rPr>
      </w:pPr>
      <w:r>
        <w:rPr>
          <w:bCs/>
        </w:rPr>
        <w:t>Furthermore, “</w:t>
      </w:r>
      <w:r w:rsidRPr="00C069E7">
        <w:rPr>
          <w:bCs/>
        </w:rPr>
        <w:t>resort to summary judgment was never intended to be used as a substitute for a court trial or for a trial by jury where any genuine issue of material fact exists.</w:t>
      </w:r>
      <w:r>
        <w:rPr>
          <w:bCs/>
        </w:rPr>
        <w:t xml:space="preserve">” </w:t>
      </w:r>
      <w:r>
        <w:rPr>
          <w:bCs/>
          <w:i/>
        </w:rPr>
        <w:t>Id</w:t>
      </w:r>
      <w:r>
        <w:rPr>
          <w:bCs/>
        </w:rPr>
        <w:t>. “Summary judgment is a ‘blunt instrument’</w:t>
      </w:r>
      <w:r w:rsidRPr="00C069E7">
        <w:rPr>
          <w:bCs/>
        </w:rPr>
        <w:t xml:space="preserve"> and should not be employed to determine issues which suggest that questions be answered before the rights of the parties can be fairly passed upon</w:t>
      </w:r>
      <w:r w:rsidR="00D52544">
        <w:rPr>
          <w:bCs/>
        </w:rPr>
        <w:t xml:space="preserve">.” </w:t>
      </w:r>
      <w:r w:rsidR="00D52544">
        <w:rPr>
          <w:bCs/>
          <w:i/>
        </w:rPr>
        <w:t>Donnay v. Boulware</w:t>
      </w:r>
      <w:r w:rsidR="00D52544">
        <w:rPr>
          <w:bCs/>
        </w:rPr>
        <w:t>, 144 N.W.2d 711, 716 (Minn. 1966).</w:t>
      </w:r>
    </w:p>
    <w:p w14:paraId="66AF3047" w14:textId="77777777" w:rsidR="00A70DFB" w:rsidRPr="00DD4769" w:rsidRDefault="00A70DFB" w:rsidP="00A70DFB">
      <w:pPr>
        <w:pStyle w:val="NoSpacing"/>
        <w:spacing w:line="480" w:lineRule="auto"/>
        <w:jc w:val="center"/>
        <w:rPr>
          <w:u w:val="single"/>
        </w:rPr>
      </w:pPr>
      <w:r w:rsidRPr="00DD4769">
        <w:rPr>
          <w:b/>
          <w:u w:val="single"/>
        </w:rPr>
        <w:t>FACTS</w:t>
      </w:r>
    </w:p>
    <w:p w14:paraId="69DC10B2" w14:textId="77777777" w:rsidR="00A70DFB" w:rsidRDefault="00A70DFB" w:rsidP="00A70DFB">
      <w:pPr>
        <w:pStyle w:val="NoSpacing"/>
        <w:spacing w:line="480" w:lineRule="auto"/>
      </w:pPr>
      <w:r>
        <w:tab/>
        <w:t>Plain</w:t>
      </w:r>
      <w:r w:rsidR="00532F42">
        <w:t>tiff is a resident of St. Paul</w:t>
      </w:r>
      <w:r>
        <w:t xml:space="preserve">, Minnesota. (Compl. ¶ 1; Answer ¶ 1.) Defendant is a Minnesota corporation and owner of a baseball stadium </w:t>
      </w:r>
      <w:r w:rsidR="00532F42">
        <w:t>located in St. Paul</w:t>
      </w:r>
      <w:r>
        <w:t>, Minne</w:t>
      </w:r>
      <w:r w:rsidR="00C82C0E">
        <w:t>sota. (Compl. ¶ 2; Answer ¶ 1.)</w:t>
      </w:r>
    </w:p>
    <w:p w14:paraId="3A797500" w14:textId="77777777" w:rsidR="00A70DFB" w:rsidRDefault="00A70DFB" w:rsidP="00A70DFB">
      <w:pPr>
        <w:pStyle w:val="NoSpacing"/>
        <w:spacing w:line="480" w:lineRule="auto"/>
      </w:pPr>
      <w:r>
        <w:tab/>
        <w:t>The Sluggerettes, a group of female dancers, and Sluggo, the team mascot, are employed by Defendant. (Brennan Aff. 1; Zachary Dep. 1:5-6, 2:19.) During games, the Sluggerettes perform in aisles throughout the stadium. (Martin Aff. 3; Zachary Dep. 1:15-16.) Due to their physical attr</w:t>
      </w:r>
      <w:r w:rsidR="00412D37">
        <w:t>ibutes</w:t>
      </w:r>
      <w:r>
        <w:t xml:space="preserve"> and skill, the Sluggerettes attract the attention of spectators while dancing. (Martin Aff. 7.)</w:t>
      </w:r>
    </w:p>
    <w:p w14:paraId="608A4FE6" w14:textId="77777777" w:rsidR="00A70DFB" w:rsidRDefault="00C82C0E" w:rsidP="00A70DFB">
      <w:pPr>
        <w:pStyle w:val="NoSpacing"/>
        <w:spacing w:line="480" w:lineRule="auto"/>
        <w:ind w:firstLine="720"/>
      </w:pPr>
      <w:r>
        <w:lastRenderedPageBreak/>
        <w:t xml:space="preserve">On August 14, 2011, Plaintiff attended a baseball game at Defendant’s stadium. (Compl. ¶ 3.) </w:t>
      </w:r>
      <w:r w:rsidR="00D77131">
        <w:t>During a break in play</w:t>
      </w:r>
      <w:r w:rsidR="00A70DFB">
        <w:t>, Plaintiff proceeded up an aisle leading to the stadium’s main concourse. (Compl. ¶¶ 4-5; Martin Aff. 6.) At that time, the Sluggerettes were dancing p</w:t>
      </w:r>
      <w:r>
        <w:t xml:space="preserve">rovocatively in the aisle </w:t>
      </w:r>
      <w:r w:rsidR="00A70DFB">
        <w:t xml:space="preserve">with Ted Tompkins (“Tompkins”), who was acting as the Sluggers’ team mascot, Sluggo. (Compl. ¶¶ 6-7.) Despite being instructed to cease performing once play </w:t>
      </w:r>
      <w:r w:rsidR="00D77131">
        <w:t>continues</w:t>
      </w:r>
      <w:r w:rsidR="00A70DFB">
        <w:t xml:space="preserve">, (Brennan Aff. 3; Zachary Dep. 2:1-5), the Sluggerettes </w:t>
      </w:r>
      <w:r w:rsidR="00A558C0">
        <w:t>persisted in</w:t>
      </w:r>
      <w:r w:rsidR="00A70DFB">
        <w:t xml:space="preserve"> dancing after the game </w:t>
      </w:r>
      <w:r w:rsidR="00D77131">
        <w:t>resumed</w:t>
      </w:r>
      <w:r w:rsidR="00A70DFB">
        <w:t>, (Zachary Dep. 1:22; Martin Aff. 4).</w:t>
      </w:r>
    </w:p>
    <w:p w14:paraId="35280EA9" w14:textId="77777777" w:rsidR="00A70DFB" w:rsidRDefault="00A70DFB" w:rsidP="00A70DFB">
      <w:pPr>
        <w:pStyle w:val="NoSpacing"/>
        <w:spacing w:line="480" w:lineRule="auto"/>
        <w:ind w:firstLine="720"/>
      </w:pPr>
      <w:r>
        <w:t>Plaintiff paused to watch the entertainment provided by the Sluggerettes and Tompkins. (Compl. ¶ 8; Zachary Dep. 1:16-17.) While watching the</w:t>
      </w:r>
      <w:r w:rsidR="00D43BDE">
        <w:t>ir</w:t>
      </w:r>
      <w:r>
        <w:t xml:space="preserve"> act, Plaintiff was struck by a foul ball. (Compl. ¶ 9; Martin Aff. 9.) Plaintiff suffered serious physical and emotional injuries including the permanent loss of sight in his left eye.</w:t>
      </w:r>
      <w:r w:rsidRPr="009E72BF">
        <w:t xml:space="preserve"> </w:t>
      </w:r>
      <w:r>
        <w:t>(Compl. ¶ 10.)</w:t>
      </w:r>
    </w:p>
    <w:p w14:paraId="5CC736A5" w14:textId="77777777" w:rsidR="00A70DFB" w:rsidRDefault="00A70DFB" w:rsidP="00A70DFB">
      <w:pPr>
        <w:pStyle w:val="NoSpacing"/>
        <w:spacing w:line="480" w:lineRule="auto"/>
        <w:ind w:firstLine="720"/>
      </w:pPr>
      <w:r>
        <w:t xml:space="preserve">Immediately after being </w:t>
      </w:r>
      <w:r w:rsidR="008B08F4">
        <w:t>hit</w:t>
      </w:r>
      <w:r>
        <w:t xml:space="preserve">, Plaintiff </w:t>
      </w:r>
      <w:r w:rsidR="00D43BDE">
        <w:t xml:space="preserve">blamed one of the Sluggerettes </w:t>
      </w:r>
      <w:r>
        <w:t xml:space="preserve">and Tompkins for causing him to be </w:t>
      </w:r>
      <w:r w:rsidR="008B08F4">
        <w:t>struck</w:t>
      </w:r>
      <w:r>
        <w:t>. (Zachary Dep. 2:11-15; Palumbo Dep. 2:21-3:4.) Plaintiff initiated suit alleging negligence on the part of Defendant November 3, 2011. (Compl. ¶¶ 11-13.) Defendant’s pending motio</w:t>
      </w:r>
      <w:r w:rsidR="007672A5">
        <w:t xml:space="preserve">n for summary judgment asserts </w:t>
      </w:r>
      <w:r w:rsidR="00D43BDE">
        <w:t xml:space="preserve">that </w:t>
      </w:r>
      <w:r>
        <w:t xml:space="preserve">Defendant is entitled to judgment as a matter of law as Plaintiff assumed the risk of the injuries </w:t>
      </w:r>
      <w:r>
        <w:lastRenderedPageBreak/>
        <w:t>suffered. (Def.’s Mot. Summ. J.) Plaintiff asks that the motion for summary judgment be denied.</w:t>
      </w:r>
    </w:p>
    <w:p w14:paraId="61883C32" w14:textId="77777777" w:rsidR="00E6787F" w:rsidRPr="002136BF" w:rsidRDefault="002136BF" w:rsidP="00E6787F">
      <w:pPr>
        <w:pStyle w:val="NoSpacing"/>
        <w:spacing w:line="480" w:lineRule="auto"/>
        <w:jc w:val="center"/>
        <w:rPr>
          <w:b/>
          <w:u w:val="single"/>
        </w:rPr>
      </w:pPr>
      <w:r w:rsidRPr="002136BF">
        <w:rPr>
          <w:b/>
          <w:u w:val="single"/>
        </w:rPr>
        <w:t xml:space="preserve">LEGAL </w:t>
      </w:r>
      <w:r w:rsidR="00E6787F" w:rsidRPr="002136BF">
        <w:rPr>
          <w:b/>
          <w:u w:val="single"/>
        </w:rPr>
        <w:t>ARGUMENT</w:t>
      </w:r>
    </w:p>
    <w:p w14:paraId="427A255A" w14:textId="77777777" w:rsidR="00023438" w:rsidRDefault="00023438" w:rsidP="00023438">
      <w:pPr>
        <w:pStyle w:val="NoSpacing"/>
        <w:spacing w:line="480" w:lineRule="auto"/>
        <w:rPr>
          <w:b/>
        </w:rPr>
      </w:pPr>
      <w:r>
        <w:rPr>
          <w:b/>
        </w:rPr>
        <w:t xml:space="preserve">I. </w:t>
      </w:r>
      <w:r w:rsidR="008E2EE9">
        <w:rPr>
          <w:b/>
        </w:rPr>
        <w:t>DEFENDANT BREACHED ITS</w:t>
      </w:r>
      <w:r w:rsidR="00321DD8">
        <w:rPr>
          <w:b/>
        </w:rPr>
        <w:t xml:space="preserve"> DUTY OF CARE</w:t>
      </w:r>
      <w:r w:rsidR="008E2EE9">
        <w:rPr>
          <w:b/>
        </w:rPr>
        <w:t xml:space="preserve"> BY </w:t>
      </w:r>
      <w:r w:rsidR="00E9124A">
        <w:rPr>
          <w:b/>
        </w:rPr>
        <w:t>ENLARGING THE PLAINTIFF’S RISK</w:t>
      </w:r>
    </w:p>
    <w:p w14:paraId="62F7C9B5" w14:textId="77777777" w:rsidR="00321DD8" w:rsidRDefault="00321DD8" w:rsidP="00023438">
      <w:pPr>
        <w:pStyle w:val="NoSpacing"/>
        <w:spacing w:line="480" w:lineRule="auto"/>
        <w:rPr>
          <w:b/>
        </w:rPr>
      </w:pPr>
      <w:r>
        <w:rPr>
          <w:b/>
        </w:rPr>
        <w:tab/>
        <w:t xml:space="preserve">A. Defendant’s Duty </w:t>
      </w:r>
      <w:r w:rsidR="006F179D">
        <w:rPr>
          <w:b/>
        </w:rPr>
        <w:t xml:space="preserve">Of Care </w:t>
      </w:r>
      <w:r>
        <w:rPr>
          <w:b/>
        </w:rPr>
        <w:t>Was Not Limited To Providing A Protected Seating Area</w:t>
      </w:r>
    </w:p>
    <w:p w14:paraId="570200B1" w14:textId="77777777" w:rsidR="00195E19" w:rsidRDefault="00321DD8" w:rsidP="00195E19">
      <w:pPr>
        <w:pStyle w:val="NoSpacing"/>
        <w:spacing w:line="480" w:lineRule="auto"/>
      </w:pPr>
      <w:r>
        <w:tab/>
      </w:r>
      <w:r w:rsidR="00195E19">
        <w:t>“</w:t>
      </w:r>
      <w:r w:rsidR="00195E19" w:rsidRPr="00E54A3C">
        <w:t>Before a court considers assumption of risk, it should first determine whether the defendant owed a duty to the plaintiff.</w:t>
      </w:r>
      <w:r w:rsidR="00195E19">
        <w:t xml:space="preserve">” </w:t>
      </w:r>
      <w:r w:rsidR="00195E19" w:rsidRPr="00E54A3C">
        <w:rPr>
          <w:bCs/>
          <w:i/>
        </w:rPr>
        <w:t>Baber v. Dill</w:t>
      </w:r>
      <w:r w:rsidR="00195E19" w:rsidRPr="00E54A3C">
        <w:rPr>
          <w:bCs/>
        </w:rPr>
        <w:t>, 531 N.W.2d 493</w:t>
      </w:r>
      <w:r w:rsidR="00195E19">
        <w:rPr>
          <w:bCs/>
        </w:rPr>
        <w:t>, 495 (Minn. 1995).</w:t>
      </w:r>
      <w:r w:rsidR="00195E19">
        <w:t xml:space="preserve"> Owners of facilities where sporting events are held owe a duty of care to spectators. </w:t>
      </w:r>
      <w:r w:rsidR="00195E19">
        <w:rPr>
          <w:i/>
        </w:rPr>
        <w:t xml:space="preserve">Wells v. Minneapolis Baseball &amp; Athletic </w:t>
      </w:r>
      <w:r w:rsidR="00195E19" w:rsidRPr="00CE7C6C">
        <w:rPr>
          <w:i/>
        </w:rPr>
        <w:t>Ass’n</w:t>
      </w:r>
      <w:r w:rsidR="00195E19" w:rsidRPr="00CE7C6C">
        <w:t xml:space="preserve">, 142 N.W. 706, 708 (Minn. 1913); </w:t>
      </w:r>
      <w:r w:rsidR="00195E19" w:rsidRPr="00CE7C6C">
        <w:rPr>
          <w:i/>
          <w:iCs/>
        </w:rPr>
        <w:t>Swagger v. City of Crystal</w:t>
      </w:r>
      <w:r w:rsidR="00195E19" w:rsidRPr="00CE7C6C">
        <w:rPr>
          <w:iCs/>
        </w:rPr>
        <w:t xml:space="preserve">, 379 N.W.2d 183, 185-86 (Minn. </w:t>
      </w:r>
      <w:r w:rsidR="00195E19">
        <w:rPr>
          <w:iCs/>
        </w:rPr>
        <w:t xml:space="preserve">Ct. </w:t>
      </w:r>
      <w:r w:rsidR="00195E19" w:rsidRPr="00CE7C6C">
        <w:rPr>
          <w:iCs/>
        </w:rPr>
        <w:t>App. 1985)</w:t>
      </w:r>
      <w:r w:rsidR="003B508E">
        <w:rPr>
          <w:iCs/>
        </w:rPr>
        <w:t xml:space="preserve">. </w:t>
      </w:r>
      <w:r w:rsidR="00195E19">
        <w:t>Thus, the legal issue implicated by Defendant is not truly whether it owed a duty to Plaintiff, but rather how limited a d</w:t>
      </w:r>
      <w:r w:rsidR="00E9124A">
        <w:t>uty it owed Plaintiff.</w:t>
      </w:r>
    </w:p>
    <w:p w14:paraId="02E15B46" w14:textId="77777777" w:rsidR="006D4568" w:rsidRPr="009C0CF4" w:rsidRDefault="00ED53A3" w:rsidP="00ED53A3">
      <w:pPr>
        <w:pStyle w:val="NoSpacing"/>
        <w:spacing w:line="480" w:lineRule="auto"/>
        <w:ind w:firstLine="720"/>
      </w:pPr>
      <w:r>
        <w:t xml:space="preserve">Minnesota courts have held </w:t>
      </w:r>
      <w:r w:rsidR="00226DE6">
        <w:t xml:space="preserve">that </w:t>
      </w:r>
      <w:r w:rsidR="00914CE4">
        <w:t xml:space="preserve">ordinarily, </w:t>
      </w:r>
      <w:r w:rsidR="00226DE6">
        <w:t>the</w:t>
      </w:r>
      <w:r>
        <w:t xml:space="preserve"> duty of care </w:t>
      </w:r>
      <w:r w:rsidR="00226DE6">
        <w:t>o</w:t>
      </w:r>
      <w:r w:rsidR="00914CE4">
        <w:t xml:space="preserve">wed a </w:t>
      </w:r>
      <w:r w:rsidR="00F56C87">
        <w:t>spectator</w:t>
      </w:r>
      <w:r w:rsidR="00914CE4">
        <w:t xml:space="preserve"> who </w:t>
      </w:r>
      <w:r w:rsidR="006D4568">
        <w:t>is aware of the risk of injury</w:t>
      </w:r>
      <w:r w:rsidR="00914CE4">
        <w:t>, is satisfied</w:t>
      </w:r>
      <w:r w:rsidR="006D4568">
        <w:t xml:space="preserve"> </w:t>
      </w:r>
      <w:r w:rsidR="00914CE4">
        <w:t>where</w:t>
      </w:r>
      <w:r w:rsidR="006D4568">
        <w:t xml:space="preserve"> the defendant provides a protected seating area. </w:t>
      </w:r>
      <w:r w:rsidR="00BD2879" w:rsidRPr="00BD2879">
        <w:rPr>
          <w:i/>
        </w:rPr>
        <w:t>Wells</w:t>
      </w:r>
      <w:r w:rsidR="00BD2879">
        <w:t xml:space="preserve">, </w:t>
      </w:r>
      <w:r w:rsidR="00BD2879" w:rsidRPr="00BD2879">
        <w:t>142</w:t>
      </w:r>
      <w:r w:rsidR="00BD2879">
        <w:t xml:space="preserve"> N.W. at 708; </w:t>
      </w:r>
      <w:r w:rsidR="00914CE4" w:rsidRPr="00EC5A6E">
        <w:rPr>
          <w:i/>
        </w:rPr>
        <w:t>Aldes v. St. Paul Ball Club, Inc</w:t>
      </w:r>
      <w:r w:rsidR="00914CE4" w:rsidRPr="007C4365">
        <w:rPr>
          <w:i/>
        </w:rPr>
        <w:t>.</w:t>
      </w:r>
      <w:r w:rsidR="00914CE4" w:rsidRPr="007C4365">
        <w:t>,</w:t>
      </w:r>
      <w:r w:rsidR="00914CE4">
        <w:t xml:space="preserve"> 88 N.W.2d 94, 96 (Minn. 1958).</w:t>
      </w:r>
      <w:r w:rsidR="008C23E0">
        <w:t xml:space="preserve"> However, the </w:t>
      </w:r>
      <w:r w:rsidR="009C0CF4">
        <w:t xml:space="preserve">Court in </w:t>
      </w:r>
      <w:r w:rsidR="009C0CF4">
        <w:rPr>
          <w:i/>
        </w:rPr>
        <w:t xml:space="preserve">Wells </w:t>
      </w:r>
      <w:r w:rsidR="009C0CF4">
        <w:t>further held that:</w:t>
      </w:r>
    </w:p>
    <w:p w14:paraId="1A773F29" w14:textId="77777777" w:rsidR="009C0CF4" w:rsidRDefault="006D4568" w:rsidP="009C0CF4">
      <w:pPr>
        <w:pStyle w:val="NoSpacing"/>
        <w:ind w:left="720" w:right="720"/>
        <w:rPr>
          <w:sz w:val="24"/>
          <w:szCs w:val="24"/>
        </w:rPr>
      </w:pPr>
      <w:r w:rsidRPr="009C0CF4">
        <w:rPr>
          <w:sz w:val="24"/>
          <w:szCs w:val="24"/>
        </w:rPr>
        <w:lastRenderedPageBreak/>
        <w:t>“It would not be either a safe or reasonable rule to hold that, in these games to which the general public is invited, no duty rests upon the management to protect from the dangers incident thereto other than by a proper screening of part of the seats. What precaution the ordinary prudent person furnishing a public amusement of this kind should take to warn and protect the spectators from the attendant dangers of which they may be ignorant, we think a question for the jury.”</w:t>
      </w:r>
    </w:p>
    <w:p w14:paraId="6BBEBA3F" w14:textId="77777777" w:rsidR="009C0CF4" w:rsidRDefault="006D4568" w:rsidP="009C0CF4">
      <w:pPr>
        <w:pStyle w:val="NoSpacing"/>
        <w:ind w:left="720" w:right="720"/>
        <w:rPr>
          <w:sz w:val="24"/>
          <w:szCs w:val="24"/>
        </w:rPr>
      </w:pPr>
      <w:r w:rsidRPr="009C0CF4">
        <w:rPr>
          <w:sz w:val="24"/>
          <w:szCs w:val="24"/>
        </w:rPr>
        <w:t xml:space="preserve"> </w:t>
      </w:r>
    </w:p>
    <w:p w14:paraId="0EFBF621" w14:textId="77777777" w:rsidR="00A67FF5" w:rsidRDefault="00CA71AA" w:rsidP="00A67FF5">
      <w:r w:rsidRPr="00BD2879">
        <w:t>142</w:t>
      </w:r>
      <w:r>
        <w:t xml:space="preserve"> N.W. at 708</w:t>
      </w:r>
      <w:r w:rsidR="006D4568" w:rsidRPr="009C0CF4">
        <w:t>.</w:t>
      </w:r>
      <w:r w:rsidR="00ED53A3" w:rsidRPr="009C0CF4">
        <w:t xml:space="preserve"> </w:t>
      </w:r>
      <w:r>
        <w:t>Def</w:t>
      </w:r>
      <w:r w:rsidR="00A67FF5">
        <w:t>endant cannot show that its duty of care</w:t>
      </w:r>
      <w:r>
        <w:t xml:space="preserve"> was</w:t>
      </w:r>
      <w:r w:rsidR="00A67FF5">
        <w:t xml:space="preserve"> satisfied </w:t>
      </w:r>
      <w:r w:rsidR="002343BD">
        <w:t>by</w:t>
      </w:r>
      <w:r w:rsidR="00A67FF5">
        <w:t xml:space="preserve"> providing a protected seating area as Defendant enlarged the risk to which Plaintiff was exposed.</w:t>
      </w:r>
    </w:p>
    <w:p w14:paraId="731E118C" w14:textId="77777777" w:rsidR="006F179D" w:rsidRPr="006F179D" w:rsidRDefault="006F179D" w:rsidP="00A67FF5">
      <w:pPr>
        <w:rPr>
          <w:b/>
        </w:rPr>
      </w:pPr>
      <w:r>
        <w:rPr>
          <w:b/>
        </w:rPr>
        <w:tab/>
        <w:t xml:space="preserve">B. Defendant </w:t>
      </w:r>
      <w:r w:rsidR="003443D5">
        <w:rPr>
          <w:b/>
        </w:rPr>
        <w:t xml:space="preserve">Failed To Satisfy Its Duty Of Care As It Needlessly Enlarged The </w:t>
      </w:r>
      <w:r w:rsidR="00DD2F06">
        <w:rPr>
          <w:b/>
        </w:rPr>
        <w:t>Plaintiff’s Risk Of Injury</w:t>
      </w:r>
    </w:p>
    <w:p w14:paraId="63942596" w14:textId="77777777" w:rsidR="007B1E78" w:rsidRDefault="00195E19" w:rsidP="007B1E78">
      <w:pPr>
        <w:ind w:firstLine="720"/>
      </w:pPr>
      <w:r>
        <w:t>Where a sports venue owes a duty to entrants, “[t]</w:t>
      </w:r>
      <w:r w:rsidRPr="007E112D">
        <w:t>he duty increases as the risks, which the proprietor to some extent encourages, increase.</w:t>
      </w:r>
      <w:r>
        <w:t xml:space="preserve">” </w:t>
      </w:r>
      <w:r w:rsidRPr="007E112D">
        <w:rPr>
          <w:bCs/>
          <w:i/>
        </w:rPr>
        <w:t>Rieger v. Zackoski</w:t>
      </w:r>
      <w:r w:rsidRPr="00CF08A5">
        <w:rPr>
          <w:bCs/>
        </w:rPr>
        <w:t>,</w:t>
      </w:r>
      <w:r w:rsidRPr="007E112D">
        <w:rPr>
          <w:bCs/>
        </w:rPr>
        <w:t xml:space="preserve"> 321 N.W.2d 16</w:t>
      </w:r>
      <w:r>
        <w:rPr>
          <w:bCs/>
        </w:rPr>
        <w:t>, 20 (Minn. 1982). The limited duty owed spectators at baseball game is not so-limited where a ballpark “</w:t>
      </w:r>
      <w:r w:rsidRPr="003A63DB">
        <w:rPr>
          <w:bCs/>
        </w:rPr>
        <w:t>creates a separate amusement or activity</w:t>
      </w:r>
      <w:r>
        <w:rPr>
          <w:bCs/>
        </w:rPr>
        <w:t xml:space="preserve"> ... .” </w:t>
      </w:r>
      <w:r w:rsidR="00D61696" w:rsidRPr="00DA11A0">
        <w:rPr>
          <w:i/>
        </w:rPr>
        <w:t>Alwin v. St. Paul Saints Baseball Club, Inc.</w:t>
      </w:r>
      <w:r w:rsidR="00D61696">
        <w:t>, 672 N.W.2d 570, 573 (Minn. Ct. App. 2003)</w:t>
      </w:r>
      <w:r>
        <w:t xml:space="preserve">. Exposing a spectator to greater risk than initially accepted creates a question of negligence, properly reserved for the trier of fact. </w:t>
      </w:r>
      <w:r w:rsidR="004E22E5">
        <w:rPr>
          <w:i/>
        </w:rPr>
        <w:t xml:space="preserve">Aldes, </w:t>
      </w:r>
      <w:r w:rsidR="004E22E5">
        <w:t>88 N.W.2d at 97</w:t>
      </w:r>
      <w:r>
        <w:t>.</w:t>
      </w:r>
      <w:r w:rsidR="007B1E78">
        <w:t xml:space="preserve"> </w:t>
      </w:r>
      <w:r>
        <w:t xml:space="preserve">Defendant </w:t>
      </w:r>
      <w:r w:rsidR="007B1E78">
        <w:t xml:space="preserve">might have </w:t>
      </w:r>
      <w:r>
        <w:t>satisfied its duty to protect Plaintiff from the obvious, incidental risks of baseball,</w:t>
      </w:r>
      <w:r w:rsidR="007B1E78">
        <w:t xml:space="preserve"> had it not increased the risk to which Plaintiff was exposed. </w:t>
      </w:r>
      <w:r w:rsidR="007B1E78">
        <w:lastRenderedPageBreak/>
        <w:t>However,</w:t>
      </w:r>
      <w:r>
        <w:t xml:space="preserve"> it failed to satisfy its duty of reasonable care in its entirety, as it needlessly increased the risk. See </w:t>
      </w:r>
      <w:r w:rsidRPr="000350E4">
        <w:rPr>
          <w:i/>
        </w:rPr>
        <w:t>Id</w:t>
      </w:r>
      <w:r>
        <w:t xml:space="preserve">. </w:t>
      </w:r>
      <w:r w:rsidRPr="000350E4">
        <w:t>at</w:t>
      </w:r>
      <w:r>
        <w:t xml:space="preserve"> 96.</w:t>
      </w:r>
    </w:p>
    <w:p w14:paraId="4572E3E7" w14:textId="77777777" w:rsidR="00101A74" w:rsidRDefault="00B67EC7" w:rsidP="00F069B2">
      <w:pPr>
        <w:pStyle w:val="NoSpacing"/>
        <w:spacing w:line="480" w:lineRule="auto"/>
        <w:rPr>
          <w:b/>
        </w:rPr>
      </w:pPr>
      <w:r>
        <w:rPr>
          <w:b/>
        </w:rPr>
        <w:t>II</w:t>
      </w:r>
      <w:r w:rsidR="00F069B2" w:rsidRPr="00390877">
        <w:rPr>
          <w:b/>
        </w:rPr>
        <w:t xml:space="preserve">. </w:t>
      </w:r>
      <w:r w:rsidR="00455385" w:rsidRPr="00390877">
        <w:rPr>
          <w:b/>
        </w:rPr>
        <w:t xml:space="preserve">PLAINTIFF DID NOT </w:t>
      </w:r>
      <w:r w:rsidR="00EA0872">
        <w:rPr>
          <w:b/>
        </w:rPr>
        <w:t xml:space="preserve">PRIMARILY </w:t>
      </w:r>
      <w:r w:rsidR="00455385" w:rsidRPr="00390877">
        <w:rPr>
          <w:b/>
        </w:rPr>
        <w:t xml:space="preserve">ASSUME THE RISK </w:t>
      </w:r>
      <w:r w:rsidR="00455385">
        <w:rPr>
          <w:b/>
        </w:rPr>
        <w:t>THAT RESULTED IN INJURY</w:t>
      </w:r>
    </w:p>
    <w:p w14:paraId="639DEAC9" w14:textId="77777777" w:rsidR="00F069B2" w:rsidRPr="00B94D85" w:rsidRDefault="00101A74" w:rsidP="00101A74">
      <w:pPr>
        <w:pStyle w:val="NoSpacing"/>
        <w:spacing w:line="480" w:lineRule="auto"/>
        <w:rPr>
          <w:b/>
        </w:rPr>
      </w:pPr>
      <w:r>
        <w:rPr>
          <w:b/>
        </w:rPr>
        <w:tab/>
        <w:t xml:space="preserve">A. </w:t>
      </w:r>
      <w:r w:rsidR="00CC65B7">
        <w:rPr>
          <w:b/>
        </w:rPr>
        <w:t xml:space="preserve">Plaintiff’s </w:t>
      </w:r>
      <w:r>
        <w:rPr>
          <w:b/>
        </w:rPr>
        <w:t xml:space="preserve">Primary </w:t>
      </w:r>
      <w:r w:rsidR="00F069B2">
        <w:rPr>
          <w:b/>
          <w:bCs/>
        </w:rPr>
        <w:t xml:space="preserve">Assumption Of Risks Incidental To Baseball Does Not </w:t>
      </w:r>
      <w:r w:rsidR="00855EA9">
        <w:rPr>
          <w:b/>
          <w:bCs/>
        </w:rPr>
        <w:t xml:space="preserve">Relieve Defendant Of Its Duty Of Care </w:t>
      </w:r>
    </w:p>
    <w:p w14:paraId="3C450101" w14:textId="77777777" w:rsidR="00F069B2" w:rsidRDefault="004045D9" w:rsidP="00F069B2">
      <w:pPr>
        <w:pStyle w:val="NoSpacing"/>
        <w:spacing w:line="480" w:lineRule="auto"/>
        <w:ind w:firstLine="720"/>
        <w:rPr>
          <w:bCs/>
        </w:rPr>
      </w:pPr>
      <w:r>
        <w:t>“</w:t>
      </w:r>
      <w:r w:rsidRPr="004045D9">
        <w:t>Primary assumption of risk is not so much an affirmative defense as an expression of the idea that the defendant owes a limited duty of care to the plaintiff with respect to the risk incident to their relationship.</w:t>
      </w:r>
      <w:r>
        <w:t xml:space="preserve">” </w:t>
      </w:r>
      <w:r w:rsidRPr="00C50BA4">
        <w:rPr>
          <w:bCs/>
          <w:i/>
        </w:rPr>
        <w:t>Olson v. Hansen</w:t>
      </w:r>
      <w:r w:rsidRPr="00C50BA4">
        <w:t>,</w:t>
      </w:r>
      <w:r w:rsidRPr="00893E75">
        <w:t xml:space="preserve"> 216 N.W.2d </w:t>
      </w:r>
      <w:r>
        <w:t xml:space="preserve">124, 127 (Minn. 1974). </w:t>
      </w:r>
      <w:r w:rsidR="001C27A3">
        <w:t>Thus, t</w:t>
      </w:r>
      <w:r w:rsidR="00F069B2">
        <w:t xml:space="preserve">he ultimate question raised by Defendant’s motion is whether Plaintiff assumed </w:t>
      </w:r>
      <w:r w:rsidR="004E0D7E">
        <w:t>“</w:t>
      </w:r>
      <w:r w:rsidR="004E0D7E" w:rsidRPr="004E0D7E">
        <w:t>well-known, incidental risks</w:t>
      </w:r>
      <w:r w:rsidR="004E0D7E">
        <w:t>”</w:t>
      </w:r>
      <w:r w:rsidR="00F069B2">
        <w:t xml:space="preserve"> of injury which led to the injuries incurred.</w:t>
      </w:r>
      <w:r w:rsidR="004E0D7E">
        <w:t xml:space="preserve"> </w:t>
      </w:r>
      <w:r w:rsidR="004E0D7E">
        <w:rPr>
          <w:i/>
        </w:rPr>
        <w:t>Id</w:t>
      </w:r>
      <w:r w:rsidR="004E0D7E">
        <w:t>.</w:t>
      </w:r>
      <w:r w:rsidR="00F069B2">
        <w:t xml:space="preserve"> </w:t>
      </w:r>
      <w:r w:rsidR="00ED6BBC">
        <w:t>In order for primary assumption of risk to apply</w:t>
      </w:r>
      <w:r w:rsidR="00F069B2">
        <w:t xml:space="preserve">, the injuries sustained must have been caused solely by </w:t>
      </w:r>
      <w:r w:rsidR="00ED6BBC">
        <w:t>the risk</w:t>
      </w:r>
      <w:r w:rsidR="00912440">
        <w:t>s</w:t>
      </w:r>
      <w:r w:rsidR="00ED6BBC">
        <w:t xml:space="preserve"> the plaintiff assumed. </w:t>
      </w:r>
      <w:r w:rsidR="00F069B2" w:rsidRPr="00501191">
        <w:rPr>
          <w:bCs/>
          <w:i/>
        </w:rPr>
        <w:t>Bigham v. J. C. Penney Co.</w:t>
      </w:r>
      <w:r w:rsidR="00F069B2" w:rsidRPr="001F43AD">
        <w:rPr>
          <w:bCs/>
        </w:rPr>
        <w:t>, 268 N.W.2d 892</w:t>
      </w:r>
      <w:r w:rsidR="00F069B2">
        <w:rPr>
          <w:bCs/>
        </w:rPr>
        <w:t>, 895-96 (Minn. 1978).</w:t>
      </w:r>
    </w:p>
    <w:p w14:paraId="3E4450FD" w14:textId="77777777" w:rsidR="00ED6BBC" w:rsidRDefault="001C27A3" w:rsidP="00F069B2">
      <w:pPr>
        <w:pStyle w:val="NoSpacing"/>
        <w:spacing w:line="480" w:lineRule="auto"/>
        <w:ind w:firstLine="720"/>
        <w:rPr>
          <w:bCs/>
        </w:rPr>
      </w:pPr>
      <w:r>
        <w:rPr>
          <w:bCs/>
        </w:rPr>
        <w:t xml:space="preserve">If </w:t>
      </w:r>
      <w:r w:rsidR="001C7D23">
        <w:rPr>
          <w:bCs/>
        </w:rPr>
        <w:t xml:space="preserve">Defendant </w:t>
      </w:r>
      <w:r w:rsidR="00163BC4">
        <w:rPr>
          <w:bCs/>
        </w:rPr>
        <w:t xml:space="preserve">had </w:t>
      </w:r>
      <w:r w:rsidR="001C7D23">
        <w:rPr>
          <w:bCs/>
        </w:rPr>
        <w:t xml:space="preserve">done nothing </w:t>
      </w:r>
      <w:r>
        <w:rPr>
          <w:bCs/>
        </w:rPr>
        <w:t>to enlarge the risks to which Plaintiff</w:t>
      </w:r>
      <w:r w:rsidR="00163BC4">
        <w:rPr>
          <w:bCs/>
        </w:rPr>
        <w:t xml:space="preserve"> would ordinarily be exposed in attending a baseball game, primary assumption of risk would apply. However, </w:t>
      </w:r>
      <w:r w:rsidR="00823074">
        <w:rPr>
          <w:bCs/>
        </w:rPr>
        <w:t xml:space="preserve">Minnesota law does not permit a defendant to escape liability for its negligence where it </w:t>
      </w:r>
      <w:r w:rsidR="00823074" w:rsidRPr="00547EF4">
        <w:rPr>
          <w:bCs/>
        </w:rPr>
        <w:t xml:space="preserve">increases the inherent </w:t>
      </w:r>
      <w:r w:rsidR="00823074" w:rsidRPr="00547EF4">
        <w:rPr>
          <w:bCs/>
        </w:rPr>
        <w:lastRenderedPageBreak/>
        <w:t>risks,</w:t>
      </w:r>
      <w:r w:rsidR="00A14BB4">
        <w:rPr>
          <w:bCs/>
        </w:rPr>
        <w:t xml:space="preserve"> </w:t>
      </w:r>
      <w:r w:rsidR="00A14BB4">
        <w:rPr>
          <w:bCs/>
          <w:i/>
        </w:rPr>
        <w:t>Aldes</w:t>
      </w:r>
      <w:r w:rsidR="00A14BB4">
        <w:rPr>
          <w:bCs/>
        </w:rPr>
        <w:t xml:space="preserve">, </w:t>
      </w:r>
      <w:r w:rsidR="00A14BB4">
        <w:t xml:space="preserve">88 N.W.2d at 96, </w:t>
      </w:r>
      <w:r w:rsidR="00547EF4" w:rsidRPr="00547EF4">
        <w:rPr>
          <w:bCs/>
        </w:rPr>
        <w:t xml:space="preserve">or </w:t>
      </w:r>
      <w:r w:rsidR="00A14BB4">
        <w:rPr>
          <w:bCs/>
        </w:rPr>
        <w:t xml:space="preserve">creates </w:t>
      </w:r>
      <w:r w:rsidR="00547EF4" w:rsidRPr="00547EF4">
        <w:rPr>
          <w:bCs/>
        </w:rPr>
        <w:t xml:space="preserve">a separate risk, </w:t>
      </w:r>
      <w:r w:rsidR="00547EF4" w:rsidRPr="00547EF4">
        <w:rPr>
          <w:bCs/>
          <w:i/>
        </w:rPr>
        <w:t>Alwin</w:t>
      </w:r>
      <w:r w:rsidR="00547EF4" w:rsidRPr="00547EF4">
        <w:rPr>
          <w:bCs/>
        </w:rPr>
        <w:t xml:space="preserve">, </w:t>
      </w:r>
      <w:r w:rsidR="00547EF4" w:rsidRPr="00547EF4">
        <w:t xml:space="preserve">672 N.W.2d at 573, </w:t>
      </w:r>
      <w:r w:rsidR="00823074" w:rsidRPr="00547EF4">
        <w:rPr>
          <w:bCs/>
        </w:rPr>
        <w:t>resulting in injury.</w:t>
      </w:r>
    </w:p>
    <w:p w14:paraId="5DE3DAA4" w14:textId="77777777" w:rsidR="00F069B2" w:rsidRDefault="00F069B2" w:rsidP="00F069B2">
      <w:pPr>
        <w:pStyle w:val="NoSpacing"/>
        <w:spacing w:line="480" w:lineRule="auto"/>
      </w:pPr>
      <w:r>
        <w:rPr>
          <w:bCs/>
        </w:rPr>
        <w:tab/>
      </w:r>
      <w:r>
        <w:t xml:space="preserve">In </w:t>
      </w:r>
      <w:r>
        <w:rPr>
          <w:i/>
        </w:rPr>
        <w:t>Aldes</w:t>
      </w:r>
      <w:r>
        <w:t xml:space="preserve">, the Court reversed a district court’s grant of summary judgment in favor of a defendant ballpark owner. 88 N.W.2d at 97. There, the plaintiff spectator was injured by an errant ball thrown by a player. </w:t>
      </w:r>
      <w:r>
        <w:rPr>
          <w:i/>
        </w:rPr>
        <w:t>Id</w:t>
      </w:r>
      <w:r>
        <w:t xml:space="preserve">. at 95. Though a minor, the plaintiff was well acquainted with the sport and the inherent risk of being struck by a ball while in attendance. </w:t>
      </w:r>
      <w:r w:rsidRPr="007223DB">
        <w:rPr>
          <w:i/>
        </w:rPr>
        <w:t>Id</w:t>
      </w:r>
      <w:r>
        <w:t>. At the invitation of the defendant’s employee, the plaintiff moved to a box seat behind first base that was more su</w:t>
      </w:r>
      <w:r w:rsidR="003C4084">
        <w:t xml:space="preserve">sceptible to misdirected balls. </w:t>
      </w:r>
      <w:r>
        <w:rPr>
          <w:i/>
        </w:rPr>
        <w:t>Id</w:t>
      </w:r>
      <w:r>
        <w:t>.</w:t>
      </w:r>
    </w:p>
    <w:p w14:paraId="0947B287" w14:textId="77777777" w:rsidR="00F069B2" w:rsidRDefault="00F069B2" w:rsidP="00F069B2">
      <w:pPr>
        <w:pStyle w:val="NoSpacing"/>
        <w:spacing w:line="480" w:lineRule="auto"/>
      </w:pPr>
      <w:r>
        <w:tab/>
        <w:t xml:space="preserve">The Court cited </w:t>
      </w:r>
      <w:r>
        <w:rPr>
          <w:i/>
        </w:rPr>
        <w:t>Wells</w:t>
      </w:r>
      <w:r>
        <w:t xml:space="preserve"> noting that normally “</w:t>
      </w:r>
      <w:r w:rsidRPr="007B51E2">
        <w:t>management's duty to protect its</w:t>
      </w:r>
      <w:r>
        <w:t xml:space="preserve"> patrons from thrown or batted </w:t>
      </w:r>
      <w:r w:rsidRPr="007B51E2">
        <w:t>balls ceases when it offers the spectators a choice between screened</w:t>
      </w:r>
      <w:r>
        <w:t xml:space="preserve"> </w:t>
      </w:r>
      <w:r w:rsidRPr="007B51E2">
        <w:t>in or open seats</w:t>
      </w:r>
      <w:r>
        <w:t xml:space="preserve"> ... .” </w:t>
      </w:r>
      <w:r>
        <w:rPr>
          <w:i/>
        </w:rPr>
        <w:t>Id</w:t>
      </w:r>
      <w:r>
        <w:t xml:space="preserve">. </w:t>
      </w:r>
      <w:r w:rsidR="00D13B5C">
        <w:t>However, i</w:t>
      </w:r>
      <w:r>
        <w:t>n reversing the grant of summary judgment, the Court stated that “[w]</w:t>
      </w:r>
      <w:r w:rsidRPr="007244B4">
        <w:t xml:space="preserve">hether </w:t>
      </w:r>
      <w:r w:rsidR="005C7420">
        <w:t xml:space="preserve">or not defendant was negligent ... </w:t>
      </w:r>
      <w:r w:rsidRPr="007244B4">
        <w:t>is a question upon which reasonable men could differ and therefore properly for the trier of facts.</w:t>
      </w:r>
      <w:r>
        <w:t xml:space="preserve">” </w:t>
      </w:r>
      <w:r>
        <w:rPr>
          <w:i/>
        </w:rPr>
        <w:t>Id</w:t>
      </w:r>
      <w:r>
        <w:t>. at 97.</w:t>
      </w:r>
    </w:p>
    <w:p w14:paraId="1E989C91" w14:textId="77777777" w:rsidR="00F069B2" w:rsidRPr="000B1813" w:rsidRDefault="00101A74" w:rsidP="00F069B2">
      <w:pPr>
        <w:pStyle w:val="NoSpacing"/>
        <w:spacing w:line="480" w:lineRule="auto"/>
        <w:ind w:firstLine="720"/>
        <w:rPr>
          <w:b/>
        </w:rPr>
      </w:pPr>
      <w:r>
        <w:rPr>
          <w:b/>
        </w:rPr>
        <w:t>B</w:t>
      </w:r>
      <w:r w:rsidR="00F069B2" w:rsidRPr="000B1813">
        <w:rPr>
          <w:b/>
        </w:rPr>
        <w:t xml:space="preserve">. The </w:t>
      </w:r>
      <w:r w:rsidR="00D13B5C">
        <w:rPr>
          <w:b/>
        </w:rPr>
        <w:t xml:space="preserve">Enlarged </w:t>
      </w:r>
      <w:r w:rsidR="00F069B2" w:rsidRPr="000B1813">
        <w:rPr>
          <w:b/>
        </w:rPr>
        <w:t xml:space="preserve">Risk Created By Defendant Was </w:t>
      </w:r>
      <w:r w:rsidR="00D13B5C">
        <w:rPr>
          <w:b/>
        </w:rPr>
        <w:t>Not An Obvious Risk Inherent To Baseball, Thus Primary Assumption Of Risk Does Not Apply</w:t>
      </w:r>
    </w:p>
    <w:p w14:paraId="5FBB3101" w14:textId="77777777" w:rsidR="00F069B2" w:rsidRDefault="00F069B2" w:rsidP="00F069B2">
      <w:pPr>
        <w:pStyle w:val="NoSpacing"/>
        <w:spacing w:line="480" w:lineRule="auto"/>
      </w:pPr>
      <w:r>
        <w:tab/>
        <w:t xml:space="preserve">As in </w:t>
      </w:r>
      <w:r>
        <w:rPr>
          <w:i/>
        </w:rPr>
        <w:t>Aldes</w:t>
      </w:r>
      <w:r>
        <w:t>, the injuries Plaintiff incurred</w:t>
      </w:r>
      <w:r w:rsidR="008D21C7">
        <w:t xml:space="preserve"> in the instant case were </w:t>
      </w:r>
      <w:r>
        <w:t xml:space="preserve">caused by </w:t>
      </w:r>
      <w:r w:rsidR="00862E2C">
        <w:t>being hit with</w:t>
      </w:r>
      <w:r>
        <w:t xml:space="preserve"> a baseball. (Compl. ¶¶ 9-10.) Being struck by an </w:t>
      </w:r>
      <w:r>
        <w:lastRenderedPageBreak/>
        <w:t xml:space="preserve">errant baseball is a risk incidental to being a spectator at a game while outside the protection of a screen or other barrier. </w:t>
      </w:r>
      <w:r>
        <w:rPr>
          <w:i/>
        </w:rPr>
        <w:t>Alwin</w:t>
      </w:r>
      <w:r>
        <w:t xml:space="preserve">, 672 N.W.2d at 572. However, the Court in </w:t>
      </w:r>
      <w:r>
        <w:rPr>
          <w:i/>
        </w:rPr>
        <w:t>Aldes</w:t>
      </w:r>
      <w:r>
        <w:t xml:space="preserve"> found that “[o]</w:t>
      </w:r>
      <w:r w:rsidRPr="0015470A">
        <w:t>ne may be negligent toward another by increasing the dangers to which he is ordinarily exposed and the negligent party will be liable for any injuries which are the natural and proba</w:t>
      </w:r>
      <w:r>
        <w:t>ble consequences of those acts.” 88 N.W.2d at 96.</w:t>
      </w:r>
    </w:p>
    <w:p w14:paraId="2B53D466" w14:textId="77777777" w:rsidR="001C3F89" w:rsidRDefault="0034434E" w:rsidP="0034434E">
      <w:pPr>
        <w:pStyle w:val="NoSpacing"/>
        <w:spacing w:line="480" w:lineRule="auto"/>
        <w:ind w:firstLine="720"/>
      </w:pPr>
      <w:r>
        <w:rPr>
          <w:bCs/>
        </w:rPr>
        <w:t xml:space="preserve">The distraction posed by scantily clad females dancing provocatively in a stadium’s aisles is not a risk inherent to the sport of baseball. Though team mascots are a common presence at some stadiums, the </w:t>
      </w:r>
      <w:r w:rsidR="004A28FA">
        <w:rPr>
          <w:bCs/>
        </w:rPr>
        <w:t xml:space="preserve">foreign </w:t>
      </w:r>
      <w:r>
        <w:rPr>
          <w:bCs/>
        </w:rPr>
        <w:t xml:space="preserve">case law cited by Defendant to support its position is neither controlling nor </w:t>
      </w:r>
      <w:r w:rsidRPr="00B62B9D">
        <w:rPr>
          <w:bCs/>
        </w:rPr>
        <w:t>convincing.</w:t>
      </w:r>
      <w:r w:rsidR="00660052">
        <w:t xml:space="preserve"> Minnesota </w:t>
      </w:r>
      <w:r w:rsidR="00B62B9D">
        <w:t xml:space="preserve">has held </w:t>
      </w:r>
      <w:r w:rsidR="004A28FA" w:rsidRPr="00B62B9D">
        <w:t>that</w:t>
      </w:r>
      <w:r w:rsidRPr="00B62B9D">
        <w:t xml:space="preserve"> </w:t>
      </w:r>
      <w:r w:rsidR="00B62B9D" w:rsidRPr="00B62B9D">
        <w:t xml:space="preserve">primary assumption of risk does not apply where the defendant created a “separate amusement or activity within the ballpark unrelated to the traditional ballgame.” </w:t>
      </w:r>
      <w:r w:rsidR="00B62B9D" w:rsidRPr="00B62B9D">
        <w:rPr>
          <w:i/>
        </w:rPr>
        <w:t>Alwin</w:t>
      </w:r>
      <w:r w:rsidR="00B62B9D" w:rsidRPr="00B62B9D">
        <w:t>, 672 N.W.2d 570</w:t>
      </w:r>
      <w:r w:rsidR="001C3F89">
        <w:t>.</w:t>
      </w:r>
      <w:r w:rsidR="005C7420">
        <w:t xml:space="preserve"> </w:t>
      </w:r>
      <w:r w:rsidR="009B7D36">
        <w:t>This limitation on primary assumption of risk is not the only means by which a plaintiff may demonstrate she has not assumed the risk resulting in injury. Others, such as enlargement of risk</w:t>
      </w:r>
      <w:r w:rsidR="00EC6097">
        <w:t xml:space="preserve">, </w:t>
      </w:r>
      <w:r w:rsidR="00EC6097">
        <w:rPr>
          <w:i/>
        </w:rPr>
        <w:t>Aldes</w:t>
      </w:r>
      <w:r w:rsidR="00EC6097">
        <w:t xml:space="preserve">, 88 N.W.2d at 96, or the creation of a separate risk, </w:t>
      </w:r>
      <w:r w:rsidR="00EC6097" w:rsidRPr="00EC6097">
        <w:rPr>
          <w:bCs/>
          <w:i/>
        </w:rPr>
        <w:t>Bigham</w:t>
      </w:r>
      <w:r w:rsidR="00EC6097">
        <w:rPr>
          <w:bCs/>
        </w:rPr>
        <w:t xml:space="preserve">, </w:t>
      </w:r>
      <w:r w:rsidR="00EC6097" w:rsidRPr="00EC6097">
        <w:rPr>
          <w:bCs/>
        </w:rPr>
        <w:t>268</w:t>
      </w:r>
      <w:r w:rsidR="00EC6097" w:rsidRPr="001F43AD">
        <w:rPr>
          <w:bCs/>
        </w:rPr>
        <w:t xml:space="preserve"> N.W.2d </w:t>
      </w:r>
      <w:r w:rsidR="00A42CC0">
        <w:rPr>
          <w:bCs/>
        </w:rPr>
        <w:t xml:space="preserve">at </w:t>
      </w:r>
      <w:r w:rsidR="00EC6097">
        <w:rPr>
          <w:bCs/>
        </w:rPr>
        <w:t>895</w:t>
      </w:r>
      <w:r w:rsidR="00CB4025">
        <w:rPr>
          <w:bCs/>
        </w:rPr>
        <w:t>-96</w:t>
      </w:r>
      <w:r w:rsidR="00A42CC0">
        <w:rPr>
          <w:bCs/>
        </w:rPr>
        <w:t>, also eliminate the a</w:t>
      </w:r>
      <w:r w:rsidR="00660052">
        <w:rPr>
          <w:bCs/>
        </w:rPr>
        <w:t>pplicability</w:t>
      </w:r>
      <w:r w:rsidR="00A42CC0">
        <w:rPr>
          <w:bCs/>
        </w:rPr>
        <w:t xml:space="preserve"> of primary assumption of risk.</w:t>
      </w:r>
    </w:p>
    <w:p w14:paraId="4A080926" w14:textId="77777777" w:rsidR="0034434E" w:rsidRPr="00E21D12" w:rsidRDefault="00BE2F0D" w:rsidP="0034434E">
      <w:pPr>
        <w:pStyle w:val="NoSpacing"/>
        <w:spacing w:line="480" w:lineRule="auto"/>
        <w:ind w:firstLine="720"/>
      </w:pPr>
      <w:r>
        <w:t>Defend</w:t>
      </w:r>
      <w:r w:rsidR="00EB49F7">
        <w:t xml:space="preserve">ant argues that mascots and other distractions are commonly present at baseball games, and as such, should be classified as inherent to the </w:t>
      </w:r>
      <w:r w:rsidR="00EB49F7">
        <w:lastRenderedPageBreak/>
        <w:t xml:space="preserve">sport. If such logic were accepted, the language used in </w:t>
      </w:r>
      <w:r w:rsidR="00EB49F7">
        <w:rPr>
          <w:i/>
        </w:rPr>
        <w:t>Alwin</w:t>
      </w:r>
      <w:r w:rsidR="00EB49F7">
        <w:t xml:space="preserve"> wou</w:t>
      </w:r>
      <w:r w:rsidR="001C3F89">
        <w:t>ld be rendered meaningless. A</w:t>
      </w:r>
      <w:r w:rsidR="00EB49F7">
        <w:t xml:space="preserve">ny activity taking place </w:t>
      </w:r>
      <w:r w:rsidR="001C3F89">
        <w:t xml:space="preserve">regularly within the stadium, no matter how far removed from the sport of baseball, would thereby become classified as related </w:t>
      </w:r>
      <w:r w:rsidR="00E21D12">
        <w:t xml:space="preserve">“to the traditional ballgame.” </w:t>
      </w:r>
      <w:r w:rsidR="00E21D12">
        <w:rPr>
          <w:i/>
        </w:rPr>
        <w:t>Id</w:t>
      </w:r>
      <w:r w:rsidR="00E21D12">
        <w:t xml:space="preserve">. Such an expansion of the doctrine of primary assumption of </w:t>
      </w:r>
      <w:r w:rsidR="00CB4025">
        <w:t>risk was not the intent of the c</w:t>
      </w:r>
      <w:r w:rsidR="00E21D12">
        <w:t xml:space="preserve">ourt in </w:t>
      </w:r>
      <w:r w:rsidR="00E21D12">
        <w:rPr>
          <w:i/>
        </w:rPr>
        <w:t>Alwin</w:t>
      </w:r>
      <w:r w:rsidR="00E21D12">
        <w:t>.</w:t>
      </w:r>
    </w:p>
    <w:p w14:paraId="3153C435" w14:textId="77777777" w:rsidR="00F069B2" w:rsidRDefault="00F069B2" w:rsidP="00F069B2">
      <w:pPr>
        <w:pStyle w:val="NoSpacing"/>
        <w:spacing w:line="480" w:lineRule="auto"/>
        <w:ind w:firstLine="720"/>
      </w:pPr>
      <w:r>
        <w:t xml:space="preserve">In </w:t>
      </w:r>
      <w:r>
        <w:rPr>
          <w:i/>
        </w:rPr>
        <w:t>Aldes</w:t>
      </w:r>
      <w:r>
        <w:t xml:space="preserve">, the action constituting an increase in the danger posed was the invitation to move to a seat more susceptible to errant balls. Here, the </w:t>
      </w:r>
      <w:r w:rsidR="000E1796">
        <w:t>enlarge</w:t>
      </w:r>
      <w:r>
        <w:t xml:space="preserve">d risk created by Defendant consisted of needlessly employing dancers in the </w:t>
      </w:r>
      <w:r w:rsidR="002D3755">
        <w:t xml:space="preserve">stands during the baseball game, </w:t>
      </w:r>
      <w:r>
        <w:t>which distracted Plaintiff</w:t>
      </w:r>
      <w:r w:rsidR="002D3755">
        <w:t>,</w:t>
      </w:r>
      <w:r>
        <w:t xml:space="preserve"> and thereby increased the likelihood that he would be struck by a ball.</w:t>
      </w:r>
    </w:p>
    <w:p w14:paraId="759AF114" w14:textId="77777777" w:rsidR="00F069B2" w:rsidRDefault="00F069B2" w:rsidP="00F069B2">
      <w:pPr>
        <w:pStyle w:val="NoSpacing"/>
        <w:spacing w:line="480" w:lineRule="auto"/>
        <w:ind w:firstLine="720"/>
      </w:pPr>
      <w:r>
        <w:t xml:space="preserve">Had Plaintiff’s attention not been diverted by the antics of Defendant’s employees, he would have proceeded to the ballpark’s main concourse during a break in play and avoided danger. (Palumbo Dep. 1:21-2:2; Compl. </w:t>
      </w:r>
      <w:r w:rsidRPr="00F802AE">
        <w:rPr>
          <w:b/>
        </w:rPr>
        <w:t>¶¶</w:t>
      </w:r>
      <w:r>
        <w:t xml:space="preserve"> 5-8.) </w:t>
      </w:r>
      <w:r w:rsidR="002D3755">
        <w:t xml:space="preserve">Moreover, had Defendant’s employees ceased performing when play resumed, </w:t>
      </w:r>
      <w:r w:rsidR="001354AB">
        <w:t xml:space="preserve">Plaintiff would have been aware that the game had started and that he was once again at risk of being struck by a foul ball. </w:t>
      </w:r>
      <w:r>
        <w:t xml:space="preserve">Defendant </w:t>
      </w:r>
      <w:r w:rsidR="008774C0">
        <w:t xml:space="preserve">repeatedly </w:t>
      </w:r>
      <w:r>
        <w:t>asserts that Plaintiff assumed</w:t>
      </w:r>
      <w:r w:rsidR="003A450A">
        <w:t xml:space="preserve"> the </w:t>
      </w:r>
      <w:r>
        <w:t>risk of injury</w:t>
      </w:r>
      <w:r w:rsidR="003A450A">
        <w:t xml:space="preserve"> inherent in baseball</w:t>
      </w:r>
      <w:r>
        <w:t xml:space="preserve"> and it was thereby relieved of its duty to protect Plaintiff. (Def.’s Mot. Summ. J.) This line of reasoning ignores </w:t>
      </w:r>
      <w:r w:rsidR="008774C0">
        <w:t xml:space="preserve">the fact that </w:t>
      </w:r>
      <w:r w:rsidR="008774C0">
        <w:lastRenderedPageBreak/>
        <w:t xml:space="preserve">primary assumption of risk does not give the Defendant license to </w:t>
      </w:r>
      <w:r w:rsidR="00D42299">
        <w:t>enlarge the risks faced by spectators.</w:t>
      </w:r>
    </w:p>
    <w:p w14:paraId="541F8593" w14:textId="77777777" w:rsidR="00F069B2" w:rsidRDefault="00101A74" w:rsidP="00F069B2">
      <w:pPr>
        <w:pStyle w:val="NoSpacing"/>
        <w:spacing w:line="480" w:lineRule="auto"/>
        <w:rPr>
          <w:b/>
        </w:rPr>
      </w:pPr>
      <w:r>
        <w:rPr>
          <w:b/>
        </w:rPr>
        <w:tab/>
        <w:t>C</w:t>
      </w:r>
      <w:r w:rsidR="00F069B2">
        <w:rPr>
          <w:b/>
        </w:rPr>
        <w:t xml:space="preserve">. Plaintiff Did Not Assume The </w:t>
      </w:r>
      <w:r w:rsidR="004E2B84">
        <w:rPr>
          <w:b/>
        </w:rPr>
        <w:t xml:space="preserve">Specific </w:t>
      </w:r>
      <w:r w:rsidR="00F069B2">
        <w:rPr>
          <w:b/>
        </w:rPr>
        <w:t>Risk Of Injury Created By The Sluggerettes and Tompkins</w:t>
      </w:r>
    </w:p>
    <w:p w14:paraId="5854353D" w14:textId="77777777" w:rsidR="00F069B2" w:rsidRDefault="00F069B2" w:rsidP="000E1796">
      <w:pPr>
        <w:pStyle w:val="NoSpacing"/>
        <w:spacing w:line="480" w:lineRule="auto"/>
        <w:ind w:firstLine="720"/>
      </w:pPr>
      <w:r>
        <w:t>Defendant a</w:t>
      </w:r>
      <w:r w:rsidR="00D07BCD">
        <w:t>rgues</w:t>
      </w:r>
      <w:r>
        <w:t xml:space="preserve"> that Plaintiff assumed the specific risk</w:t>
      </w:r>
      <w:r w:rsidR="00D07BCD">
        <w:t xml:space="preserve"> or enlargement of risk</w:t>
      </w:r>
      <w:r>
        <w:t xml:space="preserve"> posed by dancers with</w:t>
      </w:r>
      <w:r w:rsidR="000E1796">
        <w:t>in the aisles of the ballpark. “</w:t>
      </w:r>
      <w:r w:rsidRPr="000E1796">
        <w:t>To find that a person assumed the risk you must find: 1. That he had knowledge of the risk. 2. That he appreciated the risk. 3. That he had a choice to avoid the risk or chance it and voluntarily chose to chance it.</w:t>
      </w:r>
      <w:r w:rsidR="000E1796">
        <w:t xml:space="preserve">” </w:t>
      </w:r>
      <w:r w:rsidR="00D07BCD" w:rsidRPr="0064707D">
        <w:rPr>
          <w:i/>
        </w:rPr>
        <w:t>Stephenson v. F. W. Woolworth Co.</w:t>
      </w:r>
      <w:r w:rsidR="00D07BCD">
        <w:t>, 152 N.W.2d 138, 142 (Minn. 1967)</w:t>
      </w:r>
      <w:r>
        <w:t xml:space="preserve">; </w:t>
      </w:r>
      <w:r w:rsidRPr="00B10ECC">
        <w:rPr>
          <w:bCs/>
          <w:i/>
        </w:rPr>
        <w:t>Bakhos v. Driver</w:t>
      </w:r>
      <w:r w:rsidRPr="00B10ECC">
        <w:rPr>
          <w:bCs/>
        </w:rPr>
        <w:t>, 275 N.W.2d 594</w:t>
      </w:r>
      <w:r>
        <w:rPr>
          <w:bCs/>
        </w:rPr>
        <w:t xml:space="preserve">, 594; See also </w:t>
      </w:r>
      <w:r>
        <w:rPr>
          <w:i/>
        </w:rPr>
        <w:t>Springrose</w:t>
      </w:r>
      <w:r>
        <w:t>, 192 N.W.2d at 827. Plaintiff neither appreciated the risk posed by Defendant’s employees in diverting his attention from the field, nor had a meaningful opportunity to avoid the risk short of leaving the stadium.</w:t>
      </w:r>
    </w:p>
    <w:p w14:paraId="318B4106" w14:textId="77777777" w:rsidR="00F069B2" w:rsidRPr="009D69F4" w:rsidRDefault="00F069B2" w:rsidP="00F069B2">
      <w:pPr>
        <w:pStyle w:val="NoSpacing"/>
        <w:spacing w:line="480" w:lineRule="auto"/>
        <w:ind w:firstLine="720"/>
      </w:pPr>
      <w:r>
        <w:t>Plaintiff previously never encountered the Sluggerettes in such close proximity. (Palumbo Dep. 1:20.) Plaintiff, while watching the Sluggerettes and Tompkins, did not realize that the ballgame had resumed. (</w:t>
      </w:r>
      <w:r>
        <w:rPr>
          <w:i/>
        </w:rPr>
        <w:t>Id</w:t>
      </w:r>
      <w:r>
        <w:t>. 1:22-2:2.) Furthermore, the Sluggerettes performed their act throughout the stadium. (Zachary Dep. 1:15-16.) Thus,</w:t>
      </w:r>
      <w:r w:rsidR="0005423B">
        <w:t xml:space="preserve"> even had he appreciated the risk,</w:t>
      </w:r>
      <w:r>
        <w:t xml:space="preserve"> Plaintiff </w:t>
      </w:r>
      <w:r>
        <w:lastRenderedPageBreak/>
        <w:t xml:space="preserve">could not </w:t>
      </w:r>
      <w:r w:rsidR="0005423B">
        <w:t xml:space="preserve">have </w:t>
      </w:r>
      <w:r>
        <w:t>avoid</w:t>
      </w:r>
      <w:r w:rsidR="0005423B">
        <w:t>ed</w:t>
      </w:r>
      <w:r>
        <w:t xml:space="preserve"> the risk posed by the Sluggerettes without forfeiting his ticket to the game.</w:t>
      </w:r>
    </w:p>
    <w:p w14:paraId="464A512E" w14:textId="77777777" w:rsidR="00F069B2" w:rsidRDefault="00F069B2" w:rsidP="00F069B2">
      <w:pPr>
        <w:pStyle w:val="NoSpacing"/>
        <w:spacing w:line="480" w:lineRule="auto"/>
        <w:ind w:firstLine="720"/>
        <w:rPr>
          <w:bCs/>
        </w:rPr>
      </w:pPr>
      <w:r>
        <w:rPr>
          <w:bCs/>
        </w:rPr>
        <w:t xml:space="preserve">In </w:t>
      </w:r>
      <w:r>
        <w:rPr>
          <w:bCs/>
          <w:i/>
        </w:rPr>
        <w:t>Bigham</w:t>
      </w:r>
      <w:r>
        <w:rPr>
          <w:bCs/>
        </w:rPr>
        <w:t>, the plaint</w:t>
      </w:r>
      <w:r w:rsidR="00102C31">
        <w:rPr>
          <w:bCs/>
        </w:rPr>
        <w:t xml:space="preserve">iff worked for a power company. </w:t>
      </w:r>
      <w:r w:rsidRPr="003D498C">
        <w:rPr>
          <w:bCs/>
        </w:rPr>
        <w:t>268 N.W.2d at 894.</w:t>
      </w:r>
      <w:r>
        <w:rPr>
          <w:bCs/>
        </w:rPr>
        <w:t xml:space="preserve"> While attempting to repai</w:t>
      </w:r>
      <w:r w:rsidR="00AB058F">
        <w:rPr>
          <w:bCs/>
        </w:rPr>
        <w:t>r a</w:t>
      </w:r>
      <w:r>
        <w:rPr>
          <w:bCs/>
        </w:rPr>
        <w:t xml:space="preserve"> component of an electrical grid, th</w:t>
      </w:r>
      <w:r w:rsidR="00AB058F">
        <w:rPr>
          <w:bCs/>
        </w:rPr>
        <w:t xml:space="preserve">e plaintiff was subjected to a ‘flash over’ </w:t>
      </w:r>
      <w:r>
        <w:rPr>
          <w:bCs/>
        </w:rPr>
        <w:t xml:space="preserve">electric arc and suffered severe burns over much of his body. </w:t>
      </w:r>
      <w:r>
        <w:rPr>
          <w:bCs/>
          <w:i/>
        </w:rPr>
        <w:t>Id</w:t>
      </w:r>
      <w:r>
        <w:rPr>
          <w:bCs/>
        </w:rPr>
        <w:t>. at 894-95. Plaintiff sued the retailer of the cl</w:t>
      </w:r>
      <w:r w:rsidR="00AB058F">
        <w:rPr>
          <w:bCs/>
        </w:rPr>
        <w:t xml:space="preserve">othing he wore, arguing that they </w:t>
      </w:r>
      <w:r>
        <w:rPr>
          <w:bCs/>
        </w:rPr>
        <w:t xml:space="preserve">melted and clung to his skin, exacerbating his injuries. </w:t>
      </w:r>
      <w:r>
        <w:rPr>
          <w:bCs/>
          <w:i/>
        </w:rPr>
        <w:t>Id</w:t>
      </w:r>
      <w:r>
        <w:rPr>
          <w:bCs/>
        </w:rPr>
        <w:t>. at 895. The trial court found that the plaintiff did not assume the specific risk of the injuries suffered as “[t]</w:t>
      </w:r>
      <w:r w:rsidRPr="001C2F0F">
        <w:rPr>
          <w:bCs/>
        </w:rPr>
        <w:t>here were no warning tags with respect to flammability of the work clothes.</w:t>
      </w:r>
      <w:r>
        <w:rPr>
          <w:bCs/>
        </w:rPr>
        <w:t xml:space="preserve">” </w:t>
      </w:r>
      <w:r>
        <w:rPr>
          <w:bCs/>
          <w:i/>
        </w:rPr>
        <w:t>Id</w:t>
      </w:r>
      <w:r>
        <w:rPr>
          <w:bCs/>
        </w:rPr>
        <w:t>. at 896. On appeal, the Court upheld the trial court’s ruling against the retailer, finding that “</w:t>
      </w:r>
      <w:r w:rsidRPr="00875936">
        <w:rPr>
          <w:bCs/>
        </w:rPr>
        <w:t>plaintiff assumed the ri</w:t>
      </w:r>
      <w:r>
        <w:rPr>
          <w:bCs/>
        </w:rPr>
        <w:t xml:space="preserve">sk of injury due to flash over, but that he </w:t>
      </w:r>
      <w:r w:rsidRPr="00875936">
        <w:rPr>
          <w:bCs/>
        </w:rPr>
        <w:t>did not know or appreciate the flammable characteristics of the work clothing he was wea</w:t>
      </w:r>
      <w:r>
        <w:rPr>
          <w:bCs/>
        </w:rPr>
        <w:t xml:space="preserve">ring, sold by defendant Penney.” </w:t>
      </w:r>
      <w:r>
        <w:rPr>
          <w:bCs/>
          <w:i/>
        </w:rPr>
        <w:t>Id</w:t>
      </w:r>
      <w:r>
        <w:rPr>
          <w:bCs/>
        </w:rPr>
        <w:t>. at 895.</w:t>
      </w:r>
    </w:p>
    <w:p w14:paraId="2C192EEC" w14:textId="77777777" w:rsidR="00F069B2" w:rsidRDefault="00F069B2" w:rsidP="00F069B2">
      <w:pPr>
        <w:pStyle w:val="NoSpacing"/>
        <w:spacing w:line="480" w:lineRule="auto"/>
        <w:ind w:firstLine="720"/>
        <w:rPr>
          <w:bCs/>
        </w:rPr>
      </w:pPr>
      <w:r>
        <w:rPr>
          <w:bCs/>
        </w:rPr>
        <w:t xml:space="preserve">As in </w:t>
      </w:r>
      <w:r>
        <w:rPr>
          <w:bCs/>
          <w:i/>
        </w:rPr>
        <w:t>Bigham</w:t>
      </w:r>
      <w:r w:rsidR="00544C4E">
        <w:rPr>
          <w:bCs/>
        </w:rPr>
        <w:t>, Plaintiff here</w:t>
      </w:r>
      <w:r>
        <w:rPr>
          <w:bCs/>
        </w:rPr>
        <w:t xml:space="preserve"> did not appreciate the risk posed by Defendant’s employees and thereby did not assume the risk of the specific injuries incurred.</w:t>
      </w:r>
      <w:r>
        <w:t xml:space="preserve"> Moreover, Defendant’s rebuttal of </w:t>
      </w:r>
      <w:r w:rsidR="00544C4E">
        <w:t>the alleged fact</w:t>
      </w:r>
      <w:r>
        <w:t xml:space="preserve"> that Plaintiff did not </w:t>
      </w:r>
      <w:r w:rsidR="00544C4E">
        <w:t>appreciate</w:t>
      </w:r>
      <w:r>
        <w:t xml:space="preserve"> the risk </w:t>
      </w:r>
      <w:r w:rsidR="00ED16F4">
        <w:t>posed by Defendant’s employees</w:t>
      </w:r>
      <w:r>
        <w:t>, is not proper in arguing for summary judgment.</w:t>
      </w:r>
      <w:r w:rsidR="002B6AA0">
        <w:t xml:space="preserve"> </w:t>
      </w:r>
      <w:r w:rsidR="00B10448">
        <w:t xml:space="preserve">The Plaintiff’s knowledge and appreciation of the specific risk which led to harm is a question of fact. </w:t>
      </w:r>
      <w:r w:rsidR="00B10448" w:rsidRPr="00681D45">
        <w:rPr>
          <w:bCs/>
          <w:i/>
        </w:rPr>
        <w:t xml:space="preserve">Seidl </w:t>
      </w:r>
      <w:r w:rsidR="00B10448" w:rsidRPr="00681D45">
        <w:rPr>
          <w:bCs/>
          <w:i/>
        </w:rPr>
        <w:lastRenderedPageBreak/>
        <w:t>v. Trollhaugen, Inc.</w:t>
      </w:r>
      <w:r w:rsidR="00B10448" w:rsidRPr="00681D45">
        <w:rPr>
          <w:bCs/>
        </w:rPr>
        <w:t xml:space="preserve">, 305 Minn. 506, 509 (1975). </w:t>
      </w:r>
      <w:r w:rsidR="002B6AA0">
        <w:t xml:space="preserve">Such a determination must be reserved for </w:t>
      </w:r>
      <w:r w:rsidR="007625CC">
        <w:t>trial</w:t>
      </w:r>
      <w:r w:rsidR="002B6AA0">
        <w:t xml:space="preserve">. </w:t>
      </w:r>
      <w:r w:rsidR="002B6AA0">
        <w:rPr>
          <w:i/>
        </w:rPr>
        <w:t>Syverson v. Nelson</w:t>
      </w:r>
      <w:r w:rsidR="002B6AA0">
        <w:t>, 70 N.W.2d 880, 883 (Minn. 1955).</w:t>
      </w:r>
    </w:p>
    <w:p w14:paraId="5D29EC13" w14:textId="77777777" w:rsidR="00101A74" w:rsidRDefault="00101A74" w:rsidP="00101A74">
      <w:pPr>
        <w:pStyle w:val="NoSpacing"/>
        <w:spacing w:line="480" w:lineRule="auto"/>
        <w:rPr>
          <w:b/>
        </w:rPr>
      </w:pPr>
      <w:r>
        <w:rPr>
          <w:b/>
        </w:rPr>
        <w:tab/>
        <w:t xml:space="preserve">D. Assumption Of Risk Should Be Reserved For The Trier Of Fact As There Is A Genuine Issue As To Whether Plaintiff Appreciated The Risk Posed By Defendant </w:t>
      </w:r>
    </w:p>
    <w:p w14:paraId="2C5274AA" w14:textId="77777777" w:rsidR="00AB1848" w:rsidRPr="00CF2424" w:rsidRDefault="005B5025" w:rsidP="00CF2424">
      <w:pPr>
        <w:pStyle w:val="NoSpacing"/>
        <w:spacing w:line="480" w:lineRule="auto"/>
        <w:ind w:firstLine="720"/>
        <w:rPr>
          <w:bCs/>
        </w:rPr>
      </w:pPr>
      <w:r>
        <w:t>“</w:t>
      </w:r>
      <w:r w:rsidRPr="00E701AD">
        <w:t>Ordinarily the question of assumption of risk is for the jury.</w:t>
      </w:r>
      <w:r>
        <w:t xml:space="preserve">” </w:t>
      </w:r>
      <w:r>
        <w:rPr>
          <w:i/>
        </w:rPr>
        <w:t>Stephenson</w:t>
      </w:r>
      <w:r w:rsidRPr="0064707D">
        <w:rPr>
          <w:i/>
        </w:rPr>
        <w:t>.</w:t>
      </w:r>
      <w:r>
        <w:t xml:space="preserve">, 152 N.W.2d at 143; See also </w:t>
      </w:r>
      <w:r w:rsidR="00760086">
        <w:rPr>
          <w:i/>
        </w:rPr>
        <w:t>Syverson</w:t>
      </w:r>
      <w:r w:rsidR="00760086">
        <w:t>, 70 N.W.2d at 885;</w:t>
      </w:r>
      <w:r w:rsidR="00534769">
        <w:t xml:space="preserve"> </w:t>
      </w:r>
      <w:r w:rsidR="00534769">
        <w:rPr>
          <w:i/>
        </w:rPr>
        <w:t>Wells</w:t>
      </w:r>
      <w:r w:rsidR="00534769">
        <w:t>, 142 N.W. at 708;</w:t>
      </w:r>
      <w:r w:rsidR="00760086" w:rsidRPr="00633050">
        <w:rPr>
          <w:bCs/>
          <w:i/>
        </w:rPr>
        <w:t xml:space="preserve"> </w:t>
      </w:r>
      <w:r w:rsidRPr="00633050">
        <w:rPr>
          <w:bCs/>
          <w:i/>
        </w:rPr>
        <w:t>Griffiths v. Lovelette Transfer Co.</w:t>
      </w:r>
      <w:r>
        <w:rPr>
          <w:bCs/>
        </w:rPr>
        <w:t xml:space="preserve">, </w:t>
      </w:r>
      <w:r w:rsidRPr="00633050">
        <w:rPr>
          <w:bCs/>
        </w:rPr>
        <w:t>313 N.W.2d 602</w:t>
      </w:r>
      <w:r>
        <w:rPr>
          <w:bCs/>
        </w:rPr>
        <w:t>, 605 (Minn. 1981)</w:t>
      </w:r>
      <w:r w:rsidR="00323D4C">
        <w:rPr>
          <w:bCs/>
        </w:rPr>
        <w:t xml:space="preserve">; </w:t>
      </w:r>
      <w:r w:rsidR="00323D4C">
        <w:rPr>
          <w:bCs/>
          <w:i/>
        </w:rPr>
        <w:t>Hollinbeck v. Downey</w:t>
      </w:r>
      <w:r w:rsidR="00323D4C">
        <w:rPr>
          <w:bCs/>
        </w:rPr>
        <w:t xml:space="preserve">, 113 N.W.2d 9, </w:t>
      </w:r>
      <w:r w:rsidR="005866FB">
        <w:rPr>
          <w:bCs/>
        </w:rPr>
        <w:t xml:space="preserve">13 </w:t>
      </w:r>
      <w:r w:rsidR="00323D4C">
        <w:rPr>
          <w:bCs/>
        </w:rPr>
        <w:t xml:space="preserve">(Minn. </w:t>
      </w:r>
      <w:r w:rsidR="005866FB">
        <w:rPr>
          <w:bCs/>
        </w:rPr>
        <w:t>1962)</w:t>
      </w:r>
      <w:r w:rsidR="00CF2424">
        <w:rPr>
          <w:bCs/>
        </w:rPr>
        <w:t xml:space="preserve">. </w:t>
      </w:r>
      <w:r w:rsidR="00164185">
        <w:rPr>
          <w:bCs/>
        </w:rPr>
        <w:t>Minnesota courts have</w:t>
      </w:r>
      <w:r w:rsidR="007C4ECF">
        <w:rPr>
          <w:bCs/>
        </w:rPr>
        <w:t xml:space="preserve"> </w:t>
      </w:r>
      <w:r w:rsidR="00AB1848">
        <w:rPr>
          <w:bCs/>
        </w:rPr>
        <w:t xml:space="preserve">found </w:t>
      </w:r>
      <w:r w:rsidR="00325B04">
        <w:rPr>
          <w:bCs/>
        </w:rPr>
        <w:t>primary assumption of risk</w:t>
      </w:r>
      <w:r w:rsidR="00AB1848">
        <w:rPr>
          <w:bCs/>
        </w:rPr>
        <w:t xml:space="preserve"> improper where the defendant enlarged the inherent risks</w:t>
      </w:r>
      <w:r w:rsidR="00325B04">
        <w:rPr>
          <w:bCs/>
        </w:rPr>
        <w:t xml:space="preserve"> faced by a plaintiff spectator. </w:t>
      </w:r>
      <w:r w:rsidR="00325B04" w:rsidRPr="007E112D">
        <w:rPr>
          <w:bCs/>
          <w:i/>
        </w:rPr>
        <w:t>Rieger</w:t>
      </w:r>
      <w:r w:rsidR="00325B04" w:rsidRPr="00CF08A5">
        <w:rPr>
          <w:bCs/>
        </w:rPr>
        <w:t>,</w:t>
      </w:r>
      <w:r w:rsidR="00325B04">
        <w:rPr>
          <w:bCs/>
        </w:rPr>
        <w:t xml:space="preserve"> 321 N.W.2d at 20</w:t>
      </w:r>
      <w:r w:rsidR="00164185">
        <w:rPr>
          <w:bCs/>
        </w:rPr>
        <w:t xml:space="preserve">; </w:t>
      </w:r>
      <w:r w:rsidR="00164185" w:rsidRPr="00EC5A6E">
        <w:rPr>
          <w:i/>
        </w:rPr>
        <w:t>Aldes</w:t>
      </w:r>
      <w:r w:rsidR="00164185">
        <w:t>,</w:t>
      </w:r>
      <w:r w:rsidR="00164185" w:rsidRPr="00EC5A6E">
        <w:rPr>
          <w:i/>
        </w:rPr>
        <w:t xml:space="preserve"> </w:t>
      </w:r>
      <w:r w:rsidR="00164185">
        <w:t>88 N.W.2d at 96-97.</w:t>
      </w:r>
    </w:p>
    <w:p w14:paraId="7252567A" w14:textId="77777777" w:rsidR="0030674F" w:rsidRDefault="0030674F" w:rsidP="005B5025">
      <w:pPr>
        <w:pStyle w:val="NoSpacing"/>
        <w:spacing w:line="480" w:lineRule="auto"/>
        <w:ind w:firstLine="720"/>
      </w:pPr>
      <w:r>
        <w:t>For purposes of consi</w:t>
      </w:r>
      <w:r w:rsidR="00B6527C">
        <w:t>dering this motion</w:t>
      </w:r>
      <w:r>
        <w:t xml:space="preserve">, the Court must </w:t>
      </w:r>
      <w:r w:rsidR="00B6527C">
        <w:t xml:space="preserve">view the facts in the light most favorable to </w:t>
      </w:r>
      <w:r w:rsidR="00A95196">
        <w:t>the party opposing summary judgment</w:t>
      </w:r>
      <w:r w:rsidR="00B6527C">
        <w:t>. Plaintiff has plead facts</w:t>
      </w:r>
      <w:r w:rsidR="00CE631B">
        <w:t xml:space="preserve"> showing that </w:t>
      </w:r>
      <w:r w:rsidR="00A95196">
        <w:t>Defendant’s employees distracted Plaintiff</w:t>
      </w:r>
      <w:r w:rsidR="00822FB2">
        <w:t>, (</w:t>
      </w:r>
      <w:r w:rsidR="00CE631B">
        <w:t xml:space="preserve">Compl. </w:t>
      </w:r>
      <w:r w:rsidR="00CE631B" w:rsidRPr="00F802AE">
        <w:rPr>
          <w:b/>
        </w:rPr>
        <w:t>¶¶</w:t>
      </w:r>
      <w:r w:rsidR="00CE631B">
        <w:t xml:space="preserve"> 5-8</w:t>
      </w:r>
      <w:r w:rsidR="00822FB2">
        <w:t>),</w:t>
      </w:r>
      <w:r w:rsidR="00B6527C">
        <w:t xml:space="preserve"> and </w:t>
      </w:r>
      <w:r w:rsidR="00822FB2">
        <w:t>subst</w:t>
      </w:r>
      <w:r w:rsidR="00CE631B">
        <w:t>antiated these</w:t>
      </w:r>
      <w:r w:rsidR="00822FB2">
        <w:t xml:space="preserve"> assertions via affidavits and depositions, (</w:t>
      </w:r>
      <w:r w:rsidR="00CE631B">
        <w:t>Zachary Dep. 1:16-17; Martin Aff. 9; Palumbo Dep. 1:21-2:2.</w:t>
      </w:r>
      <w:r w:rsidR="003D28C3">
        <w:t>)</w:t>
      </w:r>
      <w:r w:rsidR="00D93031">
        <w:t xml:space="preserve"> That Plaintiff was injured while distracted by Defendant’s employees is not disputed. </w:t>
      </w:r>
      <w:r w:rsidR="00D62ED6">
        <w:t>Testimony has also been offered tending to show that Plaintiff did not appreciate the increased risk posed by Defendant’s employees.</w:t>
      </w:r>
    </w:p>
    <w:p w14:paraId="5BCC736A" w14:textId="77777777" w:rsidR="00D62ED6" w:rsidRPr="003F703A" w:rsidRDefault="00D62ED6" w:rsidP="005B5025">
      <w:pPr>
        <w:pStyle w:val="NoSpacing"/>
        <w:spacing w:line="480" w:lineRule="auto"/>
        <w:ind w:firstLine="720"/>
        <w:rPr>
          <w:b/>
        </w:rPr>
      </w:pPr>
      <w:r>
        <w:lastRenderedPageBreak/>
        <w:t xml:space="preserve">Plaintiff would have no reason to expect a </w:t>
      </w:r>
      <w:r w:rsidR="00A82CBE">
        <w:t>risk of being struck by a foul ball while the Sluggerettes performed, as they typically ceased performing when play resumed. (</w:t>
      </w:r>
      <w:r w:rsidR="003D28C3">
        <w:t>Zachary Dep. 2:1-5.) Furthermore, Plaintiff was not accustomed to being in such close proximity to the Sluggerettes. (Palumbo Dep. 1:19-20.)</w:t>
      </w:r>
      <w:r w:rsidR="0070271E">
        <w:t xml:space="preserve"> A</w:t>
      </w:r>
      <w:r w:rsidR="005E2DAE">
        <w:t xml:space="preserve"> genuine issue of material fact exists as to whether Plaintiff appreciated the risk of distraction posed by Defendant’</w:t>
      </w:r>
      <w:r w:rsidR="00225331">
        <w:t>s employees</w:t>
      </w:r>
      <w:r w:rsidR="00693097">
        <w:t xml:space="preserve">. </w:t>
      </w:r>
      <w:r w:rsidR="0070271E">
        <w:t xml:space="preserve">Thus, </w:t>
      </w:r>
      <w:r w:rsidR="00693097">
        <w:t>P</w:t>
      </w:r>
      <w:r w:rsidR="005E2DAE">
        <w:t>rimary assumption of risk cannot</w:t>
      </w:r>
      <w:r w:rsidR="00693097">
        <w:t xml:space="preserve"> </w:t>
      </w:r>
      <w:r w:rsidR="005E2DAE">
        <w:t xml:space="preserve">be resolved </w:t>
      </w:r>
      <w:r w:rsidR="00225331">
        <w:t>via summary judgment.</w:t>
      </w:r>
    </w:p>
    <w:p w14:paraId="4D749554" w14:textId="77777777" w:rsidR="00B67EC7" w:rsidRDefault="00B67EC7" w:rsidP="00B67EC7">
      <w:pPr>
        <w:pStyle w:val="NoSpacing"/>
        <w:spacing w:line="480" w:lineRule="auto"/>
        <w:rPr>
          <w:b/>
          <w:bCs/>
        </w:rPr>
      </w:pPr>
      <w:r>
        <w:rPr>
          <w:b/>
          <w:bCs/>
        </w:rPr>
        <w:t xml:space="preserve">III. PLAINTIFF SHOULD NOT BE HELD TO HAVE ASSUMED THE </w:t>
      </w:r>
      <w:r w:rsidR="007A7F07">
        <w:rPr>
          <w:b/>
          <w:bCs/>
        </w:rPr>
        <w:t>RISK OF INJURY AS A MATTER OF LAW</w:t>
      </w:r>
    </w:p>
    <w:p w14:paraId="0C919FF8" w14:textId="77777777" w:rsidR="009E26F9" w:rsidRDefault="009E26F9" w:rsidP="00B67EC7">
      <w:pPr>
        <w:pStyle w:val="NoSpacing"/>
        <w:spacing w:line="480" w:lineRule="auto"/>
        <w:rPr>
          <w:b/>
          <w:bCs/>
        </w:rPr>
      </w:pPr>
      <w:r>
        <w:rPr>
          <w:b/>
          <w:bCs/>
        </w:rPr>
        <w:tab/>
        <w:t xml:space="preserve">A. </w:t>
      </w:r>
      <w:r w:rsidR="00913393">
        <w:rPr>
          <w:b/>
          <w:bCs/>
        </w:rPr>
        <w:t>Primary Assumption Of Risk Is The Exception Rather Than The Rule</w:t>
      </w:r>
      <w:r w:rsidR="00454484">
        <w:rPr>
          <w:b/>
          <w:bCs/>
        </w:rPr>
        <w:t xml:space="preserve"> And Should Not Be Expanded</w:t>
      </w:r>
    </w:p>
    <w:p w14:paraId="49B2A883" w14:textId="77777777" w:rsidR="00913393" w:rsidRDefault="00913393" w:rsidP="00B67EC7">
      <w:pPr>
        <w:pStyle w:val="NoSpacing"/>
        <w:spacing w:line="480" w:lineRule="auto"/>
        <w:rPr>
          <w:bCs/>
        </w:rPr>
      </w:pPr>
      <w:r>
        <w:tab/>
      </w:r>
      <w:r w:rsidR="0070271E">
        <w:t>P</w:t>
      </w:r>
      <w:r>
        <w:t xml:space="preserve">rimary assumption of risk is a </w:t>
      </w:r>
      <w:r w:rsidR="00B32291">
        <w:t xml:space="preserve">narrow exception crafted by </w:t>
      </w:r>
      <w:r>
        <w:t>courts to</w:t>
      </w:r>
      <w:r w:rsidR="00092DDF">
        <w:t xml:space="preserve"> relieve defendants of liability where the</w:t>
      </w:r>
      <w:r w:rsidR="00B32291">
        <w:t xml:space="preserve"> “</w:t>
      </w:r>
      <w:r w:rsidR="00B32291" w:rsidRPr="00B32291">
        <w:t>parties have voluntarily entered a relationship in which plaintiff assum</w:t>
      </w:r>
      <w:r w:rsidR="00047D8E">
        <w:t>es well-known, incidental risks</w:t>
      </w:r>
      <w:r w:rsidR="00B32291">
        <w:t xml:space="preserve">,” </w:t>
      </w:r>
      <w:r w:rsidR="00B32291">
        <w:rPr>
          <w:i/>
        </w:rPr>
        <w:t>Olson</w:t>
      </w:r>
      <w:r w:rsidR="00B32291">
        <w:t xml:space="preserve">, </w:t>
      </w:r>
      <w:r w:rsidR="00B32291" w:rsidRPr="00893E75">
        <w:t xml:space="preserve">216 N.W.2d </w:t>
      </w:r>
      <w:r w:rsidR="00047D8E">
        <w:t>at</w:t>
      </w:r>
      <w:r w:rsidR="00B32291">
        <w:t xml:space="preserve"> 127</w:t>
      </w:r>
      <w:r w:rsidR="00092DDF">
        <w:t xml:space="preserve">. </w:t>
      </w:r>
      <w:r>
        <w:t xml:space="preserve"> </w:t>
      </w:r>
      <w:r w:rsidR="00092DDF">
        <w:rPr>
          <w:bCs/>
        </w:rPr>
        <w:t xml:space="preserve">“The doctrine of assumption of risk is not favored and should be limited rather than extended.” </w:t>
      </w:r>
      <w:r w:rsidR="00092DDF">
        <w:rPr>
          <w:bCs/>
          <w:i/>
        </w:rPr>
        <w:t>Suess v. Arrowhead Steel Prods. Co.</w:t>
      </w:r>
      <w:r w:rsidR="00092DDF">
        <w:rPr>
          <w:bCs/>
        </w:rPr>
        <w:t>, 230 N.W. 125, 126 (Minn. 1930).</w:t>
      </w:r>
    </w:p>
    <w:p w14:paraId="65F78500" w14:textId="77777777" w:rsidR="00F443CA" w:rsidRPr="00AD4B8A" w:rsidRDefault="006F002D" w:rsidP="00B67EC7">
      <w:pPr>
        <w:pStyle w:val="NoSpacing"/>
        <w:spacing w:line="480" w:lineRule="auto"/>
        <w:rPr>
          <w:bCs/>
        </w:rPr>
      </w:pPr>
      <w:r>
        <w:rPr>
          <w:bCs/>
        </w:rPr>
        <w:tab/>
        <w:t>Defendant owed Plaintiff a duty of care, breached that duty, and cannot show that Plaintiff appreciated the risk posed by Defendant’</w:t>
      </w:r>
      <w:r w:rsidR="002B0A93">
        <w:rPr>
          <w:bCs/>
        </w:rPr>
        <w:t xml:space="preserve">s </w:t>
      </w:r>
      <w:r w:rsidR="002B0A93">
        <w:rPr>
          <w:bCs/>
        </w:rPr>
        <w:lastRenderedPageBreak/>
        <w:t xml:space="preserve">employees while simultaneously maintaining a lack of a genuine issue of material fact. Thus, the only method by which Defendant may prevail in its motion is by convincing the Court that </w:t>
      </w:r>
      <w:r w:rsidR="009734C0">
        <w:rPr>
          <w:bCs/>
        </w:rPr>
        <w:t>primary assumption of risk should be imposed as a matter of law, irrespective of Defendant’s enlargement of risk.</w:t>
      </w:r>
      <w:r w:rsidR="00AD4B8A">
        <w:rPr>
          <w:bCs/>
        </w:rPr>
        <w:t xml:space="preserve"> </w:t>
      </w:r>
    </w:p>
    <w:p w14:paraId="63B641EA" w14:textId="77777777" w:rsidR="00195E19" w:rsidRDefault="004D6221" w:rsidP="00195E19">
      <w:pPr>
        <w:pStyle w:val="NoSpacing"/>
        <w:spacing w:line="480" w:lineRule="auto"/>
        <w:rPr>
          <w:bCs/>
        </w:rPr>
      </w:pPr>
      <w:r>
        <w:tab/>
        <w:t>“</w:t>
      </w:r>
      <w:r w:rsidRPr="004D6221">
        <w:t>Notice or knowledge and appreciation of the danger are indispensable to an assumption of risk. Assumption of risk involves comprehension that a peril is to be encountered and a willingness to encounter it.</w:t>
      </w:r>
      <w:r>
        <w:t xml:space="preserve">” </w:t>
      </w:r>
      <w:r>
        <w:rPr>
          <w:i/>
        </w:rPr>
        <w:t xml:space="preserve">Schrader v. </w:t>
      </w:r>
      <w:r w:rsidR="00C86A6A">
        <w:rPr>
          <w:i/>
        </w:rPr>
        <w:t>Kriesel</w:t>
      </w:r>
      <w:r w:rsidR="00C86A6A">
        <w:t>, 45 N.W.2d 395, 400 (Minn. 1950)</w:t>
      </w:r>
      <w:r w:rsidR="009F4F0D">
        <w:t xml:space="preserve"> (internal citations omitted)</w:t>
      </w:r>
      <w:r w:rsidR="00C86A6A">
        <w:t>.</w:t>
      </w:r>
      <w:r w:rsidR="00AD4B8A">
        <w:t xml:space="preserve"> </w:t>
      </w:r>
      <w:r w:rsidR="00AD4B8A">
        <w:rPr>
          <w:bCs/>
        </w:rPr>
        <w:t>To impute a plaintiff with knowledge and appreciation of the risk that resulted in injury is a drastic solution inappropriate to this case.</w:t>
      </w:r>
    </w:p>
    <w:p w14:paraId="620BA3F1" w14:textId="77777777" w:rsidR="00AF37F3" w:rsidRPr="00AF37F3" w:rsidRDefault="00AF37F3" w:rsidP="00195E19">
      <w:pPr>
        <w:pStyle w:val="NoSpacing"/>
        <w:spacing w:line="480" w:lineRule="auto"/>
        <w:rPr>
          <w:b/>
          <w:bCs/>
        </w:rPr>
      </w:pPr>
      <w:r>
        <w:rPr>
          <w:bCs/>
        </w:rPr>
        <w:tab/>
      </w:r>
      <w:r>
        <w:rPr>
          <w:b/>
          <w:bCs/>
        </w:rPr>
        <w:t>B. Minneso</w:t>
      </w:r>
      <w:r w:rsidR="00E80057">
        <w:rPr>
          <w:b/>
          <w:bCs/>
        </w:rPr>
        <w:t xml:space="preserve">ta Law Does Not Support </w:t>
      </w:r>
      <w:r w:rsidR="00E82CEA">
        <w:rPr>
          <w:b/>
          <w:bCs/>
        </w:rPr>
        <w:t xml:space="preserve">Judicial </w:t>
      </w:r>
      <w:r w:rsidR="00E80057">
        <w:rPr>
          <w:b/>
          <w:bCs/>
        </w:rPr>
        <w:t xml:space="preserve">Imputation </w:t>
      </w:r>
      <w:r w:rsidR="00F75986">
        <w:rPr>
          <w:b/>
          <w:bCs/>
        </w:rPr>
        <w:t xml:space="preserve">Of </w:t>
      </w:r>
      <w:r>
        <w:rPr>
          <w:b/>
          <w:bCs/>
        </w:rPr>
        <w:t>An Appreciation For The Risk That Resulted In Injury</w:t>
      </w:r>
      <w:r w:rsidR="00F75986">
        <w:rPr>
          <w:b/>
          <w:bCs/>
        </w:rPr>
        <w:t xml:space="preserve"> In This Case</w:t>
      </w:r>
    </w:p>
    <w:p w14:paraId="739D5101" w14:textId="77777777" w:rsidR="00D85F5C" w:rsidRDefault="00AD4B8A" w:rsidP="00195E19">
      <w:pPr>
        <w:pStyle w:val="NoSpacing"/>
        <w:spacing w:line="480" w:lineRule="auto"/>
        <w:rPr>
          <w:bCs/>
        </w:rPr>
      </w:pPr>
      <w:r>
        <w:rPr>
          <w:bCs/>
        </w:rPr>
        <w:tab/>
        <w:t xml:space="preserve">Minnesota cases supporting the notion that appreciation of risk may be </w:t>
      </w:r>
      <w:r w:rsidR="00D42749">
        <w:rPr>
          <w:bCs/>
        </w:rPr>
        <w:t>attributed to the plaintiff</w:t>
      </w:r>
      <w:r w:rsidR="005C4E05">
        <w:rPr>
          <w:bCs/>
        </w:rPr>
        <w:t xml:space="preserve"> spectator</w:t>
      </w:r>
      <w:r w:rsidR="00D42749">
        <w:rPr>
          <w:bCs/>
        </w:rPr>
        <w:t xml:space="preserve">, despite the plaintiff’s denial, are limited to those involving obvious, incidental risks. </w:t>
      </w:r>
      <w:r w:rsidR="005C4E05" w:rsidRPr="005C4E05">
        <w:rPr>
          <w:bCs/>
          <w:i/>
        </w:rPr>
        <w:t>Modec v. Eveleth</w:t>
      </w:r>
      <w:r w:rsidR="005C4E05">
        <w:rPr>
          <w:bCs/>
        </w:rPr>
        <w:t xml:space="preserve">, </w:t>
      </w:r>
      <w:r w:rsidR="005C4E05" w:rsidRPr="005C4E05">
        <w:rPr>
          <w:bCs/>
        </w:rPr>
        <w:t>29 N.W.2d 453</w:t>
      </w:r>
      <w:r w:rsidR="005C4E05">
        <w:rPr>
          <w:bCs/>
        </w:rPr>
        <w:t xml:space="preserve">, 456 (Minn. 1947); </w:t>
      </w:r>
      <w:r w:rsidR="007B6E4D" w:rsidRPr="007B6E4D">
        <w:rPr>
          <w:bCs/>
          <w:i/>
        </w:rPr>
        <w:t>Brisson v. Minneapolis Baseball &amp; Ath. Ass'n</w:t>
      </w:r>
      <w:r w:rsidR="007B6E4D">
        <w:rPr>
          <w:bCs/>
        </w:rPr>
        <w:t xml:space="preserve">, </w:t>
      </w:r>
      <w:r w:rsidR="007B6E4D" w:rsidRPr="007B6E4D">
        <w:rPr>
          <w:bCs/>
        </w:rPr>
        <w:t>240 N.W. 903</w:t>
      </w:r>
      <w:r w:rsidR="007B6E4D">
        <w:rPr>
          <w:bCs/>
        </w:rPr>
        <w:t>, 904 (Minn. 1932).</w:t>
      </w:r>
      <w:r w:rsidR="00EC5EEF">
        <w:rPr>
          <w:bCs/>
        </w:rPr>
        <w:t xml:space="preserve"> In both </w:t>
      </w:r>
      <w:r w:rsidR="00EC5EEF">
        <w:rPr>
          <w:bCs/>
          <w:i/>
        </w:rPr>
        <w:t>Modec</w:t>
      </w:r>
      <w:r w:rsidR="00EC5EEF">
        <w:rPr>
          <w:bCs/>
        </w:rPr>
        <w:t xml:space="preserve"> and </w:t>
      </w:r>
      <w:r w:rsidR="00EC5EEF">
        <w:rPr>
          <w:bCs/>
          <w:i/>
        </w:rPr>
        <w:t>Brisson</w:t>
      </w:r>
      <w:r w:rsidR="00EC5EEF">
        <w:rPr>
          <w:bCs/>
        </w:rPr>
        <w:t xml:space="preserve"> there was evidence that the plaintiff did, in fact, appreciate the risk that resulted in injury. </w:t>
      </w:r>
      <w:r w:rsidR="00E92666" w:rsidRPr="005C4E05">
        <w:rPr>
          <w:bCs/>
        </w:rPr>
        <w:t>29 N.W.2d</w:t>
      </w:r>
      <w:r w:rsidR="00E92666">
        <w:rPr>
          <w:bCs/>
        </w:rPr>
        <w:t xml:space="preserve"> at </w:t>
      </w:r>
      <w:r w:rsidR="00840144">
        <w:rPr>
          <w:bCs/>
        </w:rPr>
        <w:t xml:space="preserve">454; </w:t>
      </w:r>
      <w:r w:rsidR="00840144" w:rsidRPr="007B6E4D">
        <w:rPr>
          <w:bCs/>
        </w:rPr>
        <w:t>240 N.W.</w:t>
      </w:r>
      <w:r w:rsidR="00840144">
        <w:rPr>
          <w:bCs/>
        </w:rPr>
        <w:t xml:space="preserve"> at 903. </w:t>
      </w:r>
      <w:r w:rsidR="00EC5EEF">
        <w:rPr>
          <w:bCs/>
        </w:rPr>
        <w:t xml:space="preserve">Both plaintiffs had attended </w:t>
      </w:r>
      <w:r w:rsidR="00EC5EEF">
        <w:rPr>
          <w:bCs/>
        </w:rPr>
        <w:lastRenderedPageBreak/>
        <w:t>games previously (hockey and baseball, respectively). Both plaintiffs had general knowledge of the rules of the game and the manner in which they were played.</w:t>
      </w:r>
    </w:p>
    <w:p w14:paraId="75398840" w14:textId="77777777" w:rsidR="00420E33" w:rsidRDefault="009057C6" w:rsidP="00D85F5C">
      <w:pPr>
        <w:pStyle w:val="NoSpacing"/>
        <w:spacing w:line="480" w:lineRule="auto"/>
        <w:ind w:firstLine="720"/>
        <w:rPr>
          <w:bCs/>
        </w:rPr>
      </w:pPr>
      <w:r>
        <w:rPr>
          <w:bCs/>
        </w:rPr>
        <w:t>T</w:t>
      </w:r>
      <w:r w:rsidR="00D85F5C">
        <w:rPr>
          <w:bCs/>
        </w:rPr>
        <w:t xml:space="preserve">he plaintiffs in </w:t>
      </w:r>
      <w:r w:rsidR="00D85F5C">
        <w:rPr>
          <w:bCs/>
          <w:i/>
        </w:rPr>
        <w:t xml:space="preserve">Modec </w:t>
      </w:r>
      <w:r w:rsidR="00D85F5C">
        <w:rPr>
          <w:bCs/>
        </w:rPr>
        <w:t xml:space="preserve">and </w:t>
      </w:r>
      <w:r w:rsidR="00D85F5C">
        <w:rPr>
          <w:bCs/>
          <w:i/>
        </w:rPr>
        <w:t>Brisson</w:t>
      </w:r>
      <w:r w:rsidR="0017295C">
        <w:rPr>
          <w:bCs/>
        </w:rPr>
        <w:t xml:space="preserve"> were</w:t>
      </w:r>
      <w:r w:rsidR="008140AD">
        <w:rPr>
          <w:bCs/>
        </w:rPr>
        <w:t xml:space="preserve"> each</w:t>
      </w:r>
      <w:r w:rsidR="0017295C">
        <w:rPr>
          <w:bCs/>
        </w:rPr>
        <w:t xml:space="preserve"> awarded damages </w:t>
      </w:r>
      <w:r w:rsidR="00646170">
        <w:rPr>
          <w:bCs/>
        </w:rPr>
        <w:t>by a jury</w:t>
      </w:r>
      <w:r w:rsidR="00D85F5C">
        <w:rPr>
          <w:bCs/>
        </w:rPr>
        <w:t xml:space="preserve">, </w:t>
      </w:r>
      <w:r w:rsidR="00830270">
        <w:rPr>
          <w:bCs/>
        </w:rPr>
        <w:t xml:space="preserve">after </w:t>
      </w:r>
      <w:r w:rsidR="008140AD">
        <w:rPr>
          <w:bCs/>
        </w:rPr>
        <w:t>having</w:t>
      </w:r>
      <w:r w:rsidR="00830270">
        <w:rPr>
          <w:bCs/>
        </w:rPr>
        <w:t xml:space="preserve"> had full opportunity to present evidence.</w:t>
      </w:r>
      <w:r w:rsidR="00646170">
        <w:rPr>
          <w:bCs/>
        </w:rPr>
        <w:t xml:space="preserve"> 29 N.W.2d at 454; 240 N.W. at </w:t>
      </w:r>
      <w:r w:rsidR="00E47E21">
        <w:rPr>
          <w:bCs/>
        </w:rPr>
        <w:t>903.</w:t>
      </w:r>
      <w:r w:rsidR="00830270">
        <w:rPr>
          <w:bCs/>
        </w:rPr>
        <w:t xml:space="preserve"> T</w:t>
      </w:r>
      <w:r w:rsidR="00D85F5C">
        <w:rPr>
          <w:bCs/>
        </w:rPr>
        <w:t>hus</w:t>
      </w:r>
      <w:r w:rsidR="005D36A8">
        <w:rPr>
          <w:bCs/>
        </w:rPr>
        <w:t>,</w:t>
      </w:r>
      <w:r w:rsidR="00D85F5C">
        <w:rPr>
          <w:bCs/>
        </w:rPr>
        <w:t xml:space="preserve"> there was no n</w:t>
      </w:r>
      <w:r w:rsidR="005D36A8">
        <w:rPr>
          <w:bCs/>
        </w:rPr>
        <w:t>eed for the Court to impute the plaintiffs</w:t>
      </w:r>
      <w:r w:rsidR="00D85F5C">
        <w:rPr>
          <w:bCs/>
        </w:rPr>
        <w:t xml:space="preserve"> with know</w:t>
      </w:r>
      <w:r w:rsidR="00830270">
        <w:rPr>
          <w:bCs/>
        </w:rPr>
        <w:t xml:space="preserve">ledge of incidental risks except to </w:t>
      </w:r>
      <w:r w:rsidR="005D36A8">
        <w:rPr>
          <w:bCs/>
        </w:rPr>
        <w:t>abrogate the conclusions reached by the jury in each case.</w:t>
      </w:r>
      <w:r w:rsidR="00E47E21">
        <w:rPr>
          <w:bCs/>
        </w:rPr>
        <w:t xml:space="preserve"> </w:t>
      </w:r>
      <w:r w:rsidR="00563BD5">
        <w:rPr>
          <w:bCs/>
        </w:rPr>
        <w:t xml:space="preserve">Therefore neither </w:t>
      </w:r>
      <w:r w:rsidR="00563BD5">
        <w:rPr>
          <w:bCs/>
          <w:i/>
        </w:rPr>
        <w:t>Modec</w:t>
      </w:r>
      <w:r w:rsidR="00563BD5">
        <w:rPr>
          <w:bCs/>
        </w:rPr>
        <w:t xml:space="preserve">, </w:t>
      </w:r>
      <w:r w:rsidR="00563BD5">
        <w:rPr>
          <w:bCs/>
          <w:i/>
        </w:rPr>
        <w:t>Brisson</w:t>
      </w:r>
      <w:r w:rsidR="00563BD5">
        <w:rPr>
          <w:bCs/>
        </w:rPr>
        <w:t>, nor simi</w:t>
      </w:r>
      <w:r w:rsidR="00631C94">
        <w:rPr>
          <w:bCs/>
        </w:rPr>
        <w:t>lar Minnesota cases support the decision to impute a plaintiff with the appreciation of an incidental risk prior to the develop</w:t>
      </w:r>
      <w:r w:rsidR="00420E33">
        <w:rPr>
          <w:bCs/>
        </w:rPr>
        <w:t>ment of a full factual record.</w:t>
      </w:r>
    </w:p>
    <w:p w14:paraId="3B2CE6E0" w14:textId="77777777" w:rsidR="0066662B" w:rsidRDefault="00631C94" w:rsidP="0010025C">
      <w:pPr>
        <w:pStyle w:val="NoSpacing"/>
        <w:spacing w:line="480" w:lineRule="auto"/>
        <w:ind w:firstLine="720"/>
        <w:rPr>
          <w:bCs/>
        </w:rPr>
      </w:pPr>
      <w:r>
        <w:rPr>
          <w:bCs/>
        </w:rPr>
        <w:t>Moreover,</w:t>
      </w:r>
      <w:r w:rsidR="004B4618">
        <w:rPr>
          <w:bCs/>
        </w:rPr>
        <w:t xml:space="preserve"> such support as</w:t>
      </w:r>
      <w:r>
        <w:rPr>
          <w:bCs/>
        </w:rPr>
        <w:t xml:space="preserve"> </w:t>
      </w:r>
      <w:r>
        <w:rPr>
          <w:bCs/>
          <w:i/>
        </w:rPr>
        <w:t>Modec</w:t>
      </w:r>
      <w:r w:rsidR="004B4618">
        <w:rPr>
          <w:bCs/>
        </w:rPr>
        <w:t xml:space="preserve"> and</w:t>
      </w:r>
      <w:r>
        <w:rPr>
          <w:bCs/>
        </w:rPr>
        <w:t xml:space="preserve"> </w:t>
      </w:r>
      <w:r>
        <w:rPr>
          <w:bCs/>
          <w:i/>
        </w:rPr>
        <w:t>Brisson</w:t>
      </w:r>
      <w:r w:rsidR="004B4618">
        <w:rPr>
          <w:bCs/>
        </w:rPr>
        <w:t xml:space="preserve"> </w:t>
      </w:r>
      <w:r w:rsidR="006B363F">
        <w:rPr>
          <w:bCs/>
        </w:rPr>
        <w:t xml:space="preserve">may offer </w:t>
      </w:r>
      <w:r w:rsidR="004B4618">
        <w:rPr>
          <w:bCs/>
        </w:rPr>
        <w:t>Defendant is limited to charging a plaintiff with knowledge of obvious risks inherent in hockey and baseball. N</w:t>
      </w:r>
      <w:r w:rsidR="006B363F">
        <w:rPr>
          <w:bCs/>
        </w:rPr>
        <w:t xml:space="preserve">either case dealt with </w:t>
      </w:r>
      <w:r w:rsidR="00420E33">
        <w:rPr>
          <w:bCs/>
        </w:rPr>
        <w:t xml:space="preserve">any significant factors aside from the plaintiff’s knowledge of the risks involved and the extent to which the defendant provided a protected seating area. </w:t>
      </w:r>
      <w:r w:rsidR="00602A6C">
        <w:rPr>
          <w:bCs/>
        </w:rPr>
        <w:t xml:space="preserve">As such, neither </w:t>
      </w:r>
      <w:r w:rsidR="00602A6C">
        <w:rPr>
          <w:bCs/>
          <w:i/>
        </w:rPr>
        <w:t xml:space="preserve">Modec </w:t>
      </w:r>
      <w:r w:rsidR="00602A6C">
        <w:rPr>
          <w:bCs/>
        </w:rPr>
        <w:t xml:space="preserve">nor </w:t>
      </w:r>
      <w:r w:rsidR="00602A6C">
        <w:rPr>
          <w:bCs/>
          <w:i/>
        </w:rPr>
        <w:t>Brisson</w:t>
      </w:r>
      <w:r w:rsidR="00602A6C">
        <w:rPr>
          <w:bCs/>
        </w:rPr>
        <w:t xml:space="preserve"> are applicable to the instant case as Plaintiff’s injuries arose due to the Defendant’s enlargement of risk.</w:t>
      </w:r>
    </w:p>
    <w:p w14:paraId="44A2014E" w14:textId="77777777" w:rsidR="00B66979" w:rsidRDefault="00B66979" w:rsidP="00602A6C">
      <w:pPr>
        <w:pStyle w:val="NoSpacing"/>
        <w:spacing w:line="480" w:lineRule="auto"/>
        <w:ind w:firstLine="720"/>
        <w:rPr>
          <w:b/>
          <w:bCs/>
        </w:rPr>
      </w:pPr>
      <w:r>
        <w:rPr>
          <w:b/>
          <w:bCs/>
        </w:rPr>
        <w:t xml:space="preserve">C. Defendant’s </w:t>
      </w:r>
      <w:r w:rsidR="00255CD2">
        <w:rPr>
          <w:b/>
          <w:bCs/>
        </w:rPr>
        <w:t>Use Of Foreign Law Is Misguided And Largely Incongruent With Its Policy Argument</w:t>
      </w:r>
    </w:p>
    <w:p w14:paraId="1618F6B0" w14:textId="77777777" w:rsidR="008D735E" w:rsidRDefault="008D735E" w:rsidP="00602A6C">
      <w:pPr>
        <w:pStyle w:val="NoSpacing"/>
        <w:spacing w:line="480" w:lineRule="auto"/>
        <w:ind w:firstLine="720"/>
        <w:rPr>
          <w:b/>
          <w:bCs/>
        </w:rPr>
      </w:pPr>
      <w:r>
        <w:rPr>
          <w:b/>
          <w:bCs/>
        </w:rPr>
        <w:lastRenderedPageBreak/>
        <w:tab/>
        <w:t xml:space="preserve">1. </w:t>
      </w:r>
      <w:r w:rsidRPr="008D735E">
        <w:rPr>
          <w:b/>
          <w:bCs/>
          <w:i/>
        </w:rPr>
        <w:t>Harting v. Dayton Dragons</w:t>
      </w:r>
    </w:p>
    <w:p w14:paraId="56BC803F" w14:textId="77777777" w:rsidR="00CA1677" w:rsidRPr="00DE653E" w:rsidRDefault="00CA1677" w:rsidP="00CA1677">
      <w:pPr>
        <w:ind w:firstLine="720"/>
      </w:pPr>
      <w:r w:rsidRPr="00CA1677">
        <w:rPr>
          <w:bCs/>
        </w:rPr>
        <w:t xml:space="preserve">In </w:t>
      </w:r>
      <w:r w:rsidRPr="00CA1677">
        <w:rPr>
          <w:bCs/>
          <w:i/>
        </w:rPr>
        <w:t>Harting</w:t>
      </w:r>
      <w:r>
        <w:rPr>
          <w:bCs/>
        </w:rPr>
        <w:t>,</w:t>
      </w:r>
      <w:r w:rsidRPr="00CA1677">
        <w:rPr>
          <w:bCs/>
          <w:i/>
        </w:rPr>
        <w:t xml:space="preserve"> </w:t>
      </w:r>
      <w:r w:rsidRPr="00CA1677">
        <w:rPr>
          <w:bCs/>
        </w:rPr>
        <w:t xml:space="preserve">the </w:t>
      </w:r>
      <w:r>
        <w:rPr>
          <w:bCs/>
        </w:rPr>
        <w:t xml:space="preserve">Court of Appeals of </w:t>
      </w:r>
      <w:r w:rsidRPr="00CA1677">
        <w:rPr>
          <w:bCs/>
        </w:rPr>
        <w:t>Ohio did not consider whether the defendant increased the risk or created a separate risk aside from that primarily assumed by the plaintiff.</w:t>
      </w:r>
      <w:r w:rsidR="00BC3E7B">
        <w:rPr>
          <w:bCs/>
        </w:rPr>
        <w:t xml:space="preserve"> </w:t>
      </w:r>
      <w:r w:rsidR="00BC3E7B" w:rsidRPr="00BC3E7B">
        <w:rPr>
          <w:bCs/>
          <w:i/>
        </w:rPr>
        <w:t>Harting v. Dayton Dragons Prof'l Baseball Club</w:t>
      </w:r>
      <w:r w:rsidR="00BC3E7B">
        <w:rPr>
          <w:bCs/>
        </w:rPr>
        <w:t>, 870 N.E.2d 766, 770 (Ohio Ct. App. 2007).</w:t>
      </w:r>
      <w:r w:rsidRPr="00BC3E7B">
        <w:rPr>
          <w:bCs/>
          <w:i/>
        </w:rPr>
        <w:t xml:space="preserve"> </w:t>
      </w:r>
      <w:r w:rsidR="007E7575">
        <w:rPr>
          <w:bCs/>
        </w:rPr>
        <w:t xml:space="preserve">The court’s analysis, though labeled as consideration of primary assumption of risk, more closely resembled </w:t>
      </w:r>
      <w:r w:rsidR="00943F00">
        <w:rPr>
          <w:bCs/>
        </w:rPr>
        <w:t>discussion regar</w:t>
      </w:r>
      <w:r w:rsidR="007F7060">
        <w:rPr>
          <w:bCs/>
        </w:rPr>
        <w:t>ding contributory negligence. I</w:t>
      </w:r>
      <w:r w:rsidR="00943F00">
        <w:rPr>
          <w:bCs/>
        </w:rPr>
        <w:t xml:space="preserve">t focused </w:t>
      </w:r>
      <w:r w:rsidR="007F7060">
        <w:rPr>
          <w:bCs/>
        </w:rPr>
        <w:t xml:space="preserve">mostly </w:t>
      </w:r>
      <w:r w:rsidR="00943F00">
        <w:rPr>
          <w:bCs/>
        </w:rPr>
        <w:t>on the plaintiff’s “</w:t>
      </w:r>
      <w:r w:rsidR="00943F00" w:rsidRPr="00943F00">
        <w:rPr>
          <w:bCs/>
        </w:rPr>
        <w:t>duty to be on the lookout for errant balls entering the stands.</w:t>
      </w:r>
      <w:r w:rsidR="00943F00">
        <w:rPr>
          <w:bCs/>
        </w:rPr>
        <w:t xml:space="preserve">” </w:t>
      </w:r>
      <w:r w:rsidR="00943F00">
        <w:rPr>
          <w:bCs/>
          <w:i/>
        </w:rPr>
        <w:t>Id</w:t>
      </w:r>
      <w:r w:rsidR="00943F00">
        <w:rPr>
          <w:bCs/>
        </w:rPr>
        <w:t xml:space="preserve">. As such, </w:t>
      </w:r>
      <w:r w:rsidR="00943F00">
        <w:rPr>
          <w:bCs/>
          <w:i/>
        </w:rPr>
        <w:t>Harting</w:t>
      </w:r>
      <w:r w:rsidR="00943F00">
        <w:rPr>
          <w:bCs/>
        </w:rPr>
        <w:t xml:space="preserve"> is at odds with Minnesota</w:t>
      </w:r>
      <w:r w:rsidR="007F7060">
        <w:rPr>
          <w:bCs/>
        </w:rPr>
        <w:t xml:space="preserve"> law pertaining to primary assumption of risk.</w:t>
      </w:r>
    </w:p>
    <w:p w14:paraId="1890E793" w14:textId="77777777" w:rsidR="00CA1677" w:rsidRPr="00E615A6" w:rsidRDefault="00CA1677" w:rsidP="00982A32">
      <w:pPr>
        <w:ind w:firstLine="720"/>
      </w:pPr>
      <w:r w:rsidRPr="00982A32">
        <w:rPr>
          <w:bCs/>
        </w:rPr>
        <w:t xml:space="preserve">Additionally, the plaintiff in </w:t>
      </w:r>
      <w:r w:rsidRPr="00982A32">
        <w:rPr>
          <w:bCs/>
          <w:i/>
        </w:rPr>
        <w:t>Harting</w:t>
      </w:r>
      <w:r w:rsidRPr="00982A32">
        <w:rPr>
          <w:bCs/>
        </w:rPr>
        <w:t xml:space="preserve"> acknowledged that she knew the game was being played while watching the mascot. In the instant case, Plaintiff not only did not know the game had resumed, but was under the impression that the game had not resumed because the </w:t>
      </w:r>
      <w:r w:rsidR="00982A32">
        <w:rPr>
          <w:bCs/>
        </w:rPr>
        <w:t>Sluggerettes</w:t>
      </w:r>
      <w:r w:rsidRPr="00982A32">
        <w:rPr>
          <w:bCs/>
        </w:rPr>
        <w:t xml:space="preserve"> continued their act despite being under instructions to cea</w:t>
      </w:r>
      <w:r w:rsidR="00982A32">
        <w:rPr>
          <w:bCs/>
        </w:rPr>
        <w:t>se when play</w:t>
      </w:r>
      <w:r w:rsidRPr="00982A32">
        <w:rPr>
          <w:bCs/>
        </w:rPr>
        <w:t xml:space="preserve"> commenced. Regardless, whether the Plaintiff took steps to care for his own safety is properly reserved for arguments regarding co</w:t>
      </w:r>
      <w:r w:rsidR="007F7060">
        <w:rPr>
          <w:bCs/>
        </w:rPr>
        <w:t xml:space="preserve">ntributory </w:t>
      </w:r>
      <w:r w:rsidRPr="00982A32">
        <w:rPr>
          <w:bCs/>
        </w:rPr>
        <w:t>negligence rather than primary assumption of risk.</w:t>
      </w:r>
    </w:p>
    <w:p w14:paraId="0A10C175" w14:textId="77777777" w:rsidR="008D735E" w:rsidRDefault="00CA1677" w:rsidP="001656B4">
      <w:pPr>
        <w:ind w:firstLine="720"/>
        <w:rPr>
          <w:bCs/>
        </w:rPr>
      </w:pPr>
      <w:r w:rsidRPr="001656B4">
        <w:rPr>
          <w:bCs/>
        </w:rPr>
        <w:t xml:space="preserve">Finally, </w:t>
      </w:r>
      <w:r w:rsidRPr="001656B4">
        <w:rPr>
          <w:bCs/>
          <w:i/>
        </w:rPr>
        <w:t xml:space="preserve">Harting </w:t>
      </w:r>
      <w:r w:rsidRPr="001656B4">
        <w:rPr>
          <w:bCs/>
        </w:rPr>
        <w:t>quotes the Supreme Court</w:t>
      </w:r>
      <w:r w:rsidR="00024F68">
        <w:rPr>
          <w:bCs/>
        </w:rPr>
        <w:t xml:space="preserve"> of Ohio</w:t>
      </w:r>
      <w:r w:rsidRPr="001656B4">
        <w:rPr>
          <w:bCs/>
        </w:rPr>
        <w:t xml:space="preserve"> c</w:t>
      </w:r>
      <w:r w:rsidR="00024F68">
        <w:rPr>
          <w:bCs/>
        </w:rPr>
        <w:t>ase,</w:t>
      </w:r>
      <w:r w:rsidRPr="001656B4">
        <w:rPr>
          <w:bCs/>
        </w:rPr>
        <w:t xml:space="preserve"> </w:t>
      </w:r>
      <w:r w:rsidRPr="001656B4">
        <w:rPr>
          <w:bCs/>
          <w:i/>
        </w:rPr>
        <w:t>Cincinnati Base Ball Club Co. v. Eno</w:t>
      </w:r>
      <w:r w:rsidRPr="001656B4">
        <w:rPr>
          <w:bCs/>
        </w:rPr>
        <w:t xml:space="preserve">, 147 N.E. 86 (Ohio 1925), for the proposition that </w:t>
      </w:r>
      <w:r w:rsidRPr="001656B4">
        <w:rPr>
          <w:bCs/>
        </w:rPr>
        <w:lastRenderedPageBreak/>
        <w:t xml:space="preserve">a ballpark’s duty is satisfied once it provides spectators with the option of protected seating. The </w:t>
      </w:r>
      <w:r w:rsidRPr="001656B4">
        <w:rPr>
          <w:bCs/>
          <w:i/>
        </w:rPr>
        <w:t>Harting</w:t>
      </w:r>
      <w:r w:rsidRPr="001656B4">
        <w:rPr>
          <w:bCs/>
        </w:rPr>
        <w:t xml:space="preserve"> court removed the quote from its context and misconstrues its meaning. The quote </w:t>
      </w:r>
      <w:r w:rsidR="00220FC4">
        <w:rPr>
          <w:bCs/>
        </w:rPr>
        <w:t>defines</w:t>
      </w:r>
      <w:r w:rsidRPr="001656B4">
        <w:rPr>
          <w:bCs/>
        </w:rPr>
        <w:t xml:space="preserve"> the proprietor’s duty only “so far as screening the grand stand is concerned ... .” </w:t>
      </w:r>
      <w:r w:rsidRPr="001656B4">
        <w:rPr>
          <w:bCs/>
          <w:i/>
        </w:rPr>
        <w:t>Eno</w:t>
      </w:r>
      <w:r w:rsidR="00220FC4">
        <w:rPr>
          <w:bCs/>
        </w:rPr>
        <w:t>, 147 N.E. at 8</w:t>
      </w:r>
      <w:r w:rsidR="00571624">
        <w:rPr>
          <w:bCs/>
        </w:rPr>
        <w:t>7</w:t>
      </w:r>
      <w:r w:rsidR="008D735E">
        <w:rPr>
          <w:bCs/>
        </w:rPr>
        <w:t>.</w:t>
      </w:r>
    </w:p>
    <w:p w14:paraId="3FDA4AD2" w14:textId="77777777" w:rsidR="008D735E" w:rsidRDefault="00CA1677" w:rsidP="004D58D7">
      <w:pPr>
        <w:ind w:firstLine="720"/>
      </w:pPr>
      <w:r w:rsidRPr="001656B4">
        <w:rPr>
          <w:bCs/>
        </w:rPr>
        <w:t xml:space="preserve">Moreover, the Court in </w:t>
      </w:r>
      <w:r w:rsidRPr="001656B4">
        <w:rPr>
          <w:bCs/>
          <w:i/>
        </w:rPr>
        <w:t>Eno</w:t>
      </w:r>
      <w:r w:rsidRPr="001656B4">
        <w:rPr>
          <w:bCs/>
        </w:rPr>
        <w:t xml:space="preserve"> affirmed the reversal of a district court’s grant of summary judgment in favor of the defendant, finding that “[i]t was a question of fact for the jury whether the owner performed this duty by allowing players to practice so near the grand stand in an intermission when the set games were not being played.” </w:t>
      </w:r>
      <w:r w:rsidR="00220FC4" w:rsidRPr="00220FC4">
        <w:rPr>
          <w:bCs/>
          <w:i/>
        </w:rPr>
        <w:t>Id</w:t>
      </w:r>
      <w:r w:rsidR="00571624">
        <w:rPr>
          <w:bCs/>
        </w:rPr>
        <w:t xml:space="preserve"> at 88</w:t>
      </w:r>
      <w:r w:rsidR="00220FC4">
        <w:rPr>
          <w:bCs/>
        </w:rPr>
        <w:t xml:space="preserve">. </w:t>
      </w:r>
      <w:r w:rsidRPr="00220FC4">
        <w:rPr>
          <w:bCs/>
        </w:rPr>
        <w:t>The</w:t>
      </w:r>
      <w:r w:rsidRPr="001656B4">
        <w:rPr>
          <w:bCs/>
        </w:rPr>
        <w:t xml:space="preserve"> Court further held that a stadium’s duty is not limited to providing a protected seating area, but rather </w:t>
      </w:r>
      <w:r w:rsidR="000B5FAF">
        <w:rPr>
          <w:bCs/>
        </w:rPr>
        <w:t>that</w:t>
      </w:r>
      <w:r w:rsidRPr="001656B4">
        <w:rPr>
          <w:bCs/>
        </w:rPr>
        <w:t xml:space="preserve"> “</w:t>
      </w:r>
      <w:r w:rsidR="000B5FAF">
        <w:rPr>
          <w:bCs/>
        </w:rPr>
        <w:t>i</w:t>
      </w:r>
      <w:r w:rsidRPr="001656B4">
        <w:rPr>
          <w:bCs/>
        </w:rPr>
        <w:t xml:space="preserve">t was bound to exercise care commensurate with the circumstances of the situation to protect patrons against injury.” </w:t>
      </w:r>
      <w:r w:rsidR="000B5FAF" w:rsidRPr="000B5FAF">
        <w:rPr>
          <w:bCs/>
          <w:i/>
        </w:rPr>
        <w:t>Id</w:t>
      </w:r>
      <w:r w:rsidR="000B5FAF">
        <w:rPr>
          <w:bCs/>
        </w:rPr>
        <w:t xml:space="preserve">. </w:t>
      </w:r>
      <w:r w:rsidRPr="000B5FAF">
        <w:rPr>
          <w:bCs/>
        </w:rPr>
        <w:t>Thus</w:t>
      </w:r>
      <w:r w:rsidR="000B5FAF">
        <w:rPr>
          <w:bCs/>
        </w:rPr>
        <w:t>,</w:t>
      </w:r>
      <w:r w:rsidRPr="001656B4">
        <w:rPr>
          <w:bCs/>
        </w:rPr>
        <w:t xml:space="preserve"> </w:t>
      </w:r>
      <w:r w:rsidR="000B5FAF">
        <w:rPr>
          <w:bCs/>
        </w:rPr>
        <w:t>Ohio’s application of primary assumption of risk</w:t>
      </w:r>
      <w:r w:rsidRPr="001656B4">
        <w:rPr>
          <w:bCs/>
        </w:rPr>
        <w:t xml:space="preserve"> is far narrower than characterized by Defendant.</w:t>
      </w:r>
    </w:p>
    <w:p w14:paraId="34751F4D" w14:textId="77777777" w:rsidR="008D735E" w:rsidRPr="008D735E" w:rsidRDefault="008D735E" w:rsidP="008D735E">
      <w:pPr>
        <w:rPr>
          <w:b/>
        </w:rPr>
      </w:pPr>
      <w:r>
        <w:tab/>
      </w:r>
      <w:r>
        <w:tab/>
      </w:r>
      <w:r>
        <w:rPr>
          <w:b/>
        </w:rPr>
        <w:t xml:space="preserve">2. </w:t>
      </w:r>
      <w:r w:rsidRPr="008D735E">
        <w:rPr>
          <w:b/>
          <w:i/>
        </w:rPr>
        <w:t>Gunther v. Charlotte Baseball</w:t>
      </w:r>
    </w:p>
    <w:p w14:paraId="0C3E8B9E" w14:textId="77777777" w:rsidR="0027111E" w:rsidRDefault="00CA1677" w:rsidP="00EA20E8">
      <w:pPr>
        <w:ind w:firstLine="720"/>
      </w:pPr>
      <w:r w:rsidRPr="00681D45">
        <w:t>In</w:t>
      </w:r>
      <w:r>
        <w:t xml:space="preserve"> </w:t>
      </w:r>
      <w:r w:rsidRPr="008D735E">
        <w:rPr>
          <w:bCs/>
          <w:i/>
        </w:rPr>
        <w:t>Gunther</w:t>
      </w:r>
      <w:r w:rsidR="00D53F4C">
        <w:rPr>
          <w:bCs/>
        </w:rPr>
        <w:t>,</w:t>
      </w:r>
      <w:r w:rsidRPr="008D735E">
        <w:rPr>
          <w:bCs/>
          <w:i/>
        </w:rPr>
        <w:t xml:space="preserve"> </w:t>
      </w:r>
      <w:r>
        <w:t xml:space="preserve">the distraction involved was the baseball game itself, not a mascot or any other amusement. </w:t>
      </w:r>
      <w:r w:rsidR="00D53F4C" w:rsidRPr="008D735E">
        <w:rPr>
          <w:bCs/>
          <w:i/>
        </w:rPr>
        <w:t>Gunther v. Charlotte Baseball</w:t>
      </w:r>
      <w:r w:rsidR="00D53F4C" w:rsidRPr="008D735E">
        <w:rPr>
          <w:bCs/>
        </w:rPr>
        <w:t>,</w:t>
      </w:r>
      <w:r w:rsidR="00D53F4C" w:rsidRPr="008D735E">
        <w:rPr>
          <w:bCs/>
          <w:i/>
        </w:rPr>
        <w:t xml:space="preserve"> </w:t>
      </w:r>
      <w:r w:rsidR="00D53F4C" w:rsidRPr="008D735E">
        <w:rPr>
          <w:bCs/>
        </w:rPr>
        <w:t>854 F. Supp. 424</w:t>
      </w:r>
      <w:r w:rsidR="00D53F4C">
        <w:rPr>
          <w:bCs/>
        </w:rPr>
        <w:t>, 426</w:t>
      </w:r>
      <w:r w:rsidR="004D58D7">
        <w:rPr>
          <w:bCs/>
        </w:rPr>
        <w:t xml:space="preserve"> (D.S.C. 1994).</w:t>
      </w:r>
      <w:r w:rsidR="00D53F4C">
        <w:t xml:space="preserve"> </w:t>
      </w:r>
      <w:r>
        <w:t>“</w:t>
      </w:r>
      <w:r w:rsidR="004D58D7">
        <w:t>[A]</w:t>
      </w:r>
      <w:r w:rsidRPr="00C75E70">
        <w:t xml:space="preserve">nother ball was </w:t>
      </w:r>
      <w:r w:rsidR="004D58D7">
        <w:t xml:space="preserve">fouled back onto the press box ... </w:t>
      </w:r>
      <w:r w:rsidRPr="00C75E70">
        <w:t xml:space="preserve">causing Gunther to divert her attention </w:t>
      </w:r>
      <w:r w:rsidR="004D58D7">
        <w:t xml:space="preserve">... </w:t>
      </w:r>
      <w:r w:rsidRPr="00C75E70">
        <w:t xml:space="preserve">. As she turned back </w:t>
      </w:r>
      <w:r w:rsidRPr="00C75E70">
        <w:lastRenderedPageBreak/>
        <w:t>to watch the game, a second foul ball struck Gunther squarely in the face</w:t>
      </w:r>
      <w:r>
        <w:t xml:space="preserve"> ... .”</w:t>
      </w:r>
      <w:r w:rsidR="00D53F4C">
        <w:t xml:space="preserve"> </w:t>
      </w:r>
      <w:r w:rsidR="00D53F4C">
        <w:rPr>
          <w:i/>
        </w:rPr>
        <w:t>Id</w:t>
      </w:r>
      <w:r w:rsidR="00D53F4C">
        <w:t>.</w:t>
      </w:r>
    </w:p>
    <w:p w14:paraId="567EDA2E" w14:textId="77777777" w:rsidR="00255CD2" w:rsidRDefault="0027111E" w:rsidP="00957DD2">
      <w:pPr>
        <w:ind w:firstLine="720"/>
      </w:pPr>
      <w:r>
        <w:rPr>
          <w:i/>
        </w:rPr>
        <w:t>Gunther</w:t>
      </w:r>
      <w:r w:rsidR="00EA20E8">
        <w:t xml:space="preserve"> mentioned mascots in passing, illustrating that </w:t>
      </w:r>
      <w:r>
        <w:t>fans are ex</w:t>
      </w:r>
      <w:r w:rsidR="00EA20E8">
        <w:t xml:space="preserve">posed to multiple distractions that the court felt were reasonably foreseeable. </w:t>
      </w:r>
      <w:r w:rsidR="00EA20E8">
        <w:rPr>
          <w:i/>
        </w:rPr>
        <w:t>Id</w:t>
      </w:r>
      <w:r w:rsidR="00EA20E8">
        <w:t xml:space="preserve">. at </w:t>
      </w:r>
      <w:r>
        <w:t xml:space="preserve">429-30. In doing so, the court illustrated that its conception of primary assumption of risk is quite different from that adopted by Minnesota. In fact, </w:t>
      </w:r>
      <w:r>
        <w:rPr>
          <w:i/>
        </w:rPr>
        <w:t>Gunther</w:t>
      </w:r>
      <w:r>
        <w:t xml:space="preserve"> specifically rejects part of the Restatement (Second) of Torts § 343(A) which</w:t>
      </w:r>
      <w:r w:rsidR="002E6493">
        <w:t xml:space="preserve"> Defendant here cites in support of its argument. </w:t>
      </w:r>
      <w:r w:rsidR="002E6493">
        <w:rPr>
          <w:i/>
        </w:rPr>
        <w:t>Id</w:t>
      </w:r>
      <w:r w:rsidR="002E6493">
        <w:t xml:space="preserve">. </w:t>
      </w:r>
      <w:r w:rsidR="00817E59">
        <w:t xml:space="preserve">Moreover, </w:t>
      </w:r>
      <w:r w:rsidR="00817E59">
        <w:rPr>
          <w:i/>
        </w:rPr>
        <w:t>Gunther</w:t>
      </w:r>
      <w:r w:rsidR="00817E59">
        <w:t xml:space="preserve"> directly conflicts with </w:t>
      </w:r>
      <w:r w:rsidR="00817E59">
        <w:rPr>
          <w:i/>
        </w:rPr>
        <w:t>Aldes</w:t>
      </w:r>
      <w:r w:rsidR="00957DD2">
        <w:t xml:space="preserve"> and other Minnesota precedent which are controlling in this case.</w:t>
      </w:r>
    </w:p>
    <w:p w14:paraId="5B84EFE0" w14:textId="77777777" w:rsidR="00DD565E" w:rsidRDefault="00DD565E" w:rsidP="00957DD2">
      <w:pPr>
        <w:ind w:firstLine="720"/>
        <w:rPr>
          <w:b/>
        </w:rPr>
      </w:pPr>
      <w:r>
        <w:rPr>
          <w:b/>
        </w:rPr>
        <w:t>D. The Court Should Reject</w:t>
      </w:r>
      <w:r w:rsidR="00571D68">
        <w:rPr>
          <w:b/>
        </w:rPr>
        <w:t xml:space="preserve"> Defendant’s</w:t>
      </w:r>
      <w:r>
        <w:rPr>
          <w:b/>
        </w:rPr>
        <w:t xml:space="preserve"> Attempt</w:t>
      </w:r>
      <w:r w:rsidR="00571D68">
        <w:rPr>
          <w:b/>
        </w:rPr>
        <w:t xml:space="preserve"> To Expand</w:t>
      </w:r>
      <w:r>
        <w:rPr>
          <w:b/>
        </w:rPr>
        <w:t xml:space="preserve"> Primary Assumption Of Risk As A Matter Of Public Policy</w:t>
      </w:r>
    </w:p>
    <w:p w14:paraId="15F34410" w14:textId="77777777" w:rsidR="00DD565E" w:rsidRPr="00571D68" w:rsidRDefault="00DD565E" w:rsidP="00571D68">
      <w:pPr>
        <w:ind w:firstLine="720"/>
        <w:rPr>
          <w:b/>
        </w:rPr>
      </w:pPr>
      <w:r w:rsidRPr="00571D68">
        <w:rPr>
          <w:bCs/>
        </w:rPr>
        <w:t xml:space="preserve">Sound public policy may require primary assumption of risk to be applied in cases where a spectator is struck by a baseball or hockey puck absent aggravating factors. However, the policy arguments offered by Defendant are not compelling where the proprietor has increased or created new risks to which a spectator is exposed. </w:t>
      </w:r>
      <w:r w:rsidRPr="00571D68">
        <w:rPr>
          <w:bCs/>
          <w:i/>
        </w:rPr>
        <w:t>Alwin</w:t>
      </w:r>
      <w:r w:rsidRPr="00571D68">
        <w:rPr>
          <w:bCs/>
        </w:rPr>
        <w:t xml:space="preserve"> notes the difficulty that would arise if courts were to characterize spectators as patrons instead of spectators while in the stadium’s concession area. That problem does not </w:t>
      </w:r>
      <w:r w:rsidRPr="00571D68">
        <w:rPr>
          <w:bCs/>
        </w:rPr>
        <w:lastRenderedPageBreak/>
        <w:t>arise in the instant case as Plaintiff’s status as a spectator or a patron is not at issue and Defendant’s liability is not premised upon Plaintiff’s location within the stadium.</w:t>
      </w:r>
    </w:p>
    <w:p w14:paraId="3086CB91" w14:textId="77777777" w:rsidR="00DD565E" w:rsidRPr="00DD565E" w:rsidRDefault="00DD565E" w:rsidP="00DD565E">
      <w:pPr>
        <w:ind w:firstLine="720"/>
        <w:rPr>
          <w:b/>
        </w:rPr>
      </w:pPr>
      <w:r>
        <w:rPr>
          <w:bCs/>
        </w:rPr>
        <w:t>Moreover, denying summary judgment will not burden the courts with litigation stemming from every injury associated with errant balls and pucks. Primary assumption of risk has and will continue to operate as a shield against frivolous suits for those proprietors who have provided protected seating areas and otherwise fulfilled their duty of care. Primary assumption of risk is an exception to traditional negligence law. It should not be treated as a means of immunizing corporations against liability where they have acted to increase profits without due regard for the safety of spectators.</w:t>
      </w:r>
    </w:p>
    <w:p w14:paraId="3E3C4488" w14:textId="77777777" w:rsidR="009F3B6F" w:rsidRPr="009F3B6F" w:rsidRDefault="009F3B6F" w:rsidP="009F3B6F">
      <w:pPr>
        <w:pStyle w:val="NoSpacing"/>
        <w:spacing w:line="480" w:lineRule="auto"/>
        <w:jc w:val="center"/>
        <w:rPr>
          <w:b/>
          <w:u w:val="single"/>
        </w:rPr>
      </w:pPr>
      <w:r>
        <w:rPr>
          <w:b/>
          <w:u w:val="single"/>
        </w:rPr>
        <w:t>CONCLUSION</w:t>
      </w:r>
    </w:p>
    <w:p w14:paraId="291DDA7E" w14:textId="77777777" w:rsidR="00A70DFB" w:rsidRDefault="00A70DFB" w:rsidP="00EC50EE">
      <w:pPr>
        <w:pStyle w:val="NoSpacing"/>
        <w:spacing w:line="480" w:lineRule="auto"/>
        <w:ind w:firstLine="720"/>
      </w:pPr>
      <w:r>
        <w:t>For the for</w:t>
      </w:r>
      <w:r w:rsidR="00BA0EFA">
        <w:t>e</w:t>
      </w:r>
      <w:r>
        <w:t>going reasons, Plaintiff respectfully asks that the Court deny Defendant’s motion for summary judgment.</w:t>
      </w:r>
    </w:p>
    <w:p w14:paraId="7953D961" w14:textId="77777777" w:rsidR="006236A1" w:rsidRDefault="006236A1" w:rsidP="0010025C">
      <w:pPr>
        <w:pStyle w:val="NoSpacing"/>
      </w:pPr>
      <w:r>
        <w:t xml:space="preserve">Dated: April 11, 2012 </w:t>
      </w:r>
      <w:r>
        <w:tab/>
      </w:r>
      <w:r>
        <w:tab/>
      </w:r>
      <w:r>
        <w:tab/>
      </w:r>
      <w:r>
        <w:tab/>
        <w:t>Olson and Associates</w:t>
      </w:r>
    </w:p>
    <w:p w14:paraId="20C754A1" w14:textId="77777777" w:rsidR="006236A1" w:rsidRDefault="006236A1" w:rsidP="0010025C">
      <w:pPr>
        <w:pStyle w:val="NoSpacing"/>
      </w:pPr>
      <w:r>
        <w:tab/>
      </w:r>
      <w:r>
        <w:tab/>
      </w:r>
      <w:r>
        <w:tab/>
      </w:r>
      <w:r>
        <w:tab/>
      </w:r>
      <w:r>
        <w:tab/>
      </w:r>
      <w:r>
        <w:tab/>
      </w:r>
      <w:r>
        <w:tab/>
        <w:t>By _____________________</w:t>
      </w:r>
    </w:p>
    <w:p w14:paraId="1A0657AB" w14:textId="77777777" w:rsidR="006236A1" w:rsidRDefault="006236A1" w:rsidP="008F7705">
      <w:pPr>
        <w:pStyle w:val="NoSpacing"/>
      </w:pPr>
      <w:r>
        <w:tab/>
      </w:r>
      <w:r>
        <w:tab/>
      </w:r>
      <w:r>
        <w:tab/>
      </w:r>
      <w:r>
        <w:tab/>
      </w:r>
      <w:r>
        <w:tab/>
      </w:r>
      <w:r>
        <w:tab/>
      </w:r>
      <w:r>
        <w:tab/>
      </w:r>
      <w:r w:rsidR="008F7705">
        <w:t>&lt;redacted&gt;&lt;/redacted&gt;</w:t>
      </w:r>
      <w:bookmarkStart w:id="0" w:name="_GoBack"/>
      <w:bookmarkEnd w:id="0"/>
    </w:p>
    <w:p w14:paraId="005DF0EC" w14:textId="77777777" w:rsidR="006236A1" w:rsidRDefault="006236A1" w:rsidP="0010025C">
      <w:pPr>
        <w:pStyle w:val="NoSpacing"/>
      </w:pPr>
      <w:r>
        <w:tab/>
      </w:r>
      <w:r>
        <w:tab/>
      </w:r>
      <w:r>
        <w:tab/>
      </w:r>
      <w:r>
        <w:tab/>
      </w:r>
      <w:r>
        <w:tab/>
      </w:r>
      <w:r>
        <w:tab/>
      </w:r>
      <w:r>
        <w:tab/>
      </w:r>
    </w:p>
    <w:p w14:paraId="2EF0513F" w14:textId="77777777" w:rsidR="0010025C" w:rsidRPr="00B47BD9" w:rsidRDefault="0010025C" w:rsidP="0010025C">
      <w:pPr>
        <w:pStyle w:val="NoSpacing"/>
        <w:ind w:left="5040"/>
      </w:pPr>
      <w:r>
        <w:t>ATTORNEY FOR PLAINTIFF PAUL PALUMBO</w:t>
      </w:r>
    </w:p>
    <w:p w14:paraId="5469AA9D" w14:textId="77777777" w:rsidR="00195671" w:rsidRDefault="00195671" w:rsidP="00A70DFB">
      <w:pPr>
        <w:contextualSpacing/>
      </w:pPr>
    </w:p>
    <w:sectPr w:rsidR="00195671" w:rsidSect="00D03615">
      <w:headerReference w:type="default" r:id="rId9"/>
      <w:footerReference w:type="default" r:id="rId10"/>
      <w:headerReference w:type="first" r:id="rId11"/>
      <w:pgSz w:w="12240" w:h="15840" w:code="1"/>
      <w:pgMar w:top="1440" w:right="1800" w:bottom="1440" w:left="1800" w:header="720" w:footer="720" w:gutter="0"/>
      <w:pgNumType w:start="0"/>
      <w:cols w:space="720"/>
      <w:titlePg/>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4CCFB3" w14:textId="77777777" w:rsidR="00297EDD" w:rsidRDefault="00297EDD" w:rsidP="00033E75">
      <w:pPr>
        <w:spacing w:after="0" w:line="240" w:lineRule="auto"/>
      </w:pPr>
      <w:r>
        <w:separator/>
      </w:r>
    </w:p>
  </w:endnote>
  <w:endnote w:type="continuationSeparator" w:id="0">
    <w:p w14:paraId="32137269" w14:textId="77777777" w:rsidR="00297EDD" w:rsidRDefault="00297EDD" w:rsidP="00033E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2466882"/>
      <w:docPartObj>
        <w:docPartGallery w:val="Page Numbers (Bottom of Page)"/>
        <w:docPartUnique/>
      </w:docPartObj>
    </w:sdtPr>
    <w:sdtEndPr>
      <w:rPr>
        <w:noProof/>
      </w:rPr>
    </w:sdtEndPr>
    <w:sdtContent>
      <w:p w14:paraId="78F486D4" w14:textId="77777777" w:rsidR="00DD565E" w:rsidRDefault="00DD565E">
        <w:pPr>
          <w:pStyle w:val="Footer"/>
          <w:jc w:val="center"/>
        </w:pPr>
        <w:r>
          <w:fldChar w:fldCharType="begin"/>
        </w:r>
        <w:r>
          <w:instrText xml:space="preserve"> PAGE   \* MERGEFORMAT </w:instrText>
        </w:r>
        <w:r>
          <w:fldChar w:fldCharType="separate"/>
        </w:r>
        <w:r w:rsidR="008F7705">
          <w:rPr>
            <w:noProof/>
          </w:rPr>
          <w:t>20</w:t>
        </w:r>
        <w:r>
          <w:rPr>
            <w:noProof/>
          </w:rPr>
          <w:fldChar w:fldCharType="end"/>
        </w:r>
      </w:p>
    </w:sdtContent>
  </w:sdt>
  <w:p w14:paraId="57E56B6D" w14:textId="77777777" w:rsidR="00DD565E" w:rsidRDefault="00DD565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DD2213" w14:textId="77777777" w:rsidR="00297EDD" w:rsidRDefault="00297EDD" w:rsidP="00033E75">
      <w:pPr>
        <w:spacing w:after="0" w:line="240" w:lineRule="auto"/>
      </w:pPr>
      <w:r>
        <w:separator/>
      </w:r>
    </w:p>
  </w:footnote>
  <w:footnote w:type="continuationSeparator" w:id="0">
    <w:p w14:paraId="1DB58CB8" w14:textId="77777777" w:rsidR="00297EDD" w:rsidRDefault="00297EDD" w:rsidP="00033E75">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44399" w14:textId="77777777" w:rsidR="00DD565E" w:rsidRDefault="00DD565E">
    <w:pPr>
      <w:pStyle w:val="Header"/>
    </w:pPr>
  </w:p>
  <w:p w14:paraId="46422F5B" w14:textId="77777777" w:rsidR="00DD565E" w:rsidRDefault="00DD565E">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C3717" w14:textId="77777777" w:rsidR="00CC3D2D" w:rsidRDefault="00CC3D2D">
    <w:pPr>
      <w:pStyle w:val="Header"/>
    </w:pPr>
  </w:p>
  <w:p w14:paraId="7E1A107E" w14:textId="77777777" w:rsidR="00CC3D2D" w:rsidRDefault="00CC3D2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34CC9"/>
    <w:multiLevelType w:val="hybridMultilevel"/>
    <w:tmpl w:val="B45235BA"/>
    <w:lvl w:ilvl="0" w:tplc="E3DC2EE0">
      <w:numFmt w:val="bullet"/>
      <w:lvlText w:val="-"/>
      <w:lvlJc w:val="left"/>
      <w:pPr>
        <w:ind w:left="435" w:hanging="360"/>
      </w:pPr>
      <w:rPr>
        <w:rFonts w:ascii="Times New Roman" w:eastAsiaTheme="minorHAns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attachedTemplate r:id="rId1"/>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0F0"/>
    <w:rsid w:val="00023438"/>
    <w:rsid w:val="00024F68"/>
    <w:rsid w:val="00033E75"/>
    <w:rsid w:val="00047D8E"/>
    <w:rsid w:val="0005423B"/>
    <w:rsid w:val="00080E58"/>
    <w:rsid w:val="00092DDF"/>
    <w:rsid w:val="000B5FAF"/>
    <w:rsid w:val="000E1796"/>
    <w:rsid w:val="000F5C56"/>
    <w:rsid w:val="0010025C"/>
    <w:rsid w:val="00101A74"/>
    <w:rsid w:val="00102C31"/>
    <w:rsid w:val="00115CAE"/>
    <w:rsid w:val="001354AB"/>
    <w:rsid w:val="00136FBD"/>
    <w:rsid w:val="00143048"/>
    <w:rsid w:val="00144746"/>
    <w:rsid w:val="001550EA"/>
    <w:rsid w:val="0016060C"/>
    <w:rsid w:val="00163BC4"/>
    <w:rsid w:val="00164185"/>
    <w:rsid w:val="001656B4"/>
    <w:rsid w:val="0017295C"/>
    <w:rsid w:val="00187236"/>
    <w:rsid w:val="00195671"/>
    <w:rsid w:val="00195E19"/>
    <w:rsid w:val="0019757E"/>
    <w:rsid w:val="001B15B2"/>
    <w:rsid w:val="001C27A3"/>
    <w:rsid w:val="001C3F89"/>
    <w:rsid w:val="001C7D23"/>
    <w:rsid w:val="002114E4"/>
    <w:rsid w:val="002136BF"/>
    <w:rsid w:val="00220FC4"/>
    <w:rsid w:val="00225331"/>
    <w:rsid w:val="002257B2"/>
    <w:rsid w:val="00226DE6"/>
    <w:rsid w:val="002343BD"/>
    <w:rsid w:val="00255CD2"/>
    <w:rsid w:val="00270B6F"/>
    <w:rsid w:val="0027111E"/>
    <w:rsid w:val="00296753"/>
    <w:rsid w:val="00297EDD"/>
    <w:rsid w:val="002B0A93"/>
    <w:rsid w:val="002B6AA0"/>
    <w:rsid w:val="002D3755"/>
    <w:rsid w:val="002E6493"/>
    <w:rsid w:val="0030674F"/>
    <w:rsid w:val="00320508"/>
    <w:rsid w:val="00321DD8"/>
    <w:rsid w:val="00323D4C"/>
    <w:rsid w:val="00325B04"/>
    <w:rsid w:val="0034434E"/>
    <w:rsid w:val="003443D5"/>
    <w:rsid w:val="003528B9"/>
    <w:rsid w:val="0039770E"/>
    <w:rsid w:val="003A450A"/>
    <w:rsid w:val="003B508E"/>
    <w:rsid w:val="003C4084"/>
    <w:rsid w:val="003D28C3"/>
    <w:rsid w:val="003D3F68"/>
    <w:rsid w:val="003F703A"/>
    <w:rsid w:val="00403F4F"/>
    <w:rsid w:val="004045D9"/>
    <w:rsid w:val="00412D37"/>
    <w:rsid w:val="00420E33"/>
    <w:rsid w:val="00423962"/>
    <w:rsid w:val="00454484"/>
    <w:rsid w:val="00455385"/>
    <w:rsid w:val="00471D64"/>
    <w:rsid w:val="00474A27"/>
    <w:rsid w:val="004A28FA"/>
    <w:rsid w:val="004B4618"/>
    <w:rsid w:val="004D58D7"/>
    <w:rsid w:val="004D6221"/>
    <w:rsid w:val="004E0D7E"/>
    <w:rsid w:val="004E22E5"/>
    <w:rsid w:val="004E2B84"/>
    <w:rsid w:val="005075C6"/>
    <w:rsid w:val="00532F42"/>
    <w:rsid w:val="00534769"/>
    <w:rsid w:val="00544C4E"/>
    <w:rsid w:val="00547EF4"/>
    <w:rsid w:val="00563BD5"/>
    <w:rsid w:val="00571624"/>
    <w:rsid w:val="00571D68"/>
    <w:rsid w:val="005866FB"/>
    <w:rsid w:val="005B12E5"/>
    <w:rsid w:val="005B5025"/>
    <w:rsid w:val="005C4E05"/>
    <w:rsid w:val="005C720B"/>
    <w:rsid w:val="005C7420"/>
    <w:rsid w:val="005D36A8"/>
    <w:rsid w:val="005E2DAE"/>
    <w:rsid w:val="005F29C7"/>
    <w:rsid w:val="00602A6C"/>
    <w:rsid w:val="00620B3F"/>
    <w:rsid w:val="006236A1"/>
    <w:rsid w:val="00631C94"/>
    <w:rsid w:val="00632D8F"/>
    <w:rsid w:val="0064542A"/>
    <w:rsid w:val="00646170"/>
    <w:rsid w:val="00660052"/>
    <w:rsid w:val="0066662B"/>
    <w:rsid w:val="00685946"/>
    <w:rsid w:val="00686A40"/>
    <w:rsid w:val="00693097"/>
    <w:rsid w:val="006B363F"/>
    <w:rsid w:val="006B45DE"/>
    <w:rsid w:val="006C5A8D"/>
    <w:rsid w:val="006D4568"/>
    <w:rsid w:val="006F002D"/>
    <w:rsid w:val="006F179D"/>
    <w:rsid w:val="006F73FC"/>
    <w:rsid w:val="0070271E"/>
    <w:rsid w:val="007223DB"/>
    <w:rsid w:val="0073359E"/>
    <w:rsid w:val="00746A37"/>
    <w:rsid w:val="00757D94"/>
    <w:rsid w:val="00760086"/>
    <w:rsid w:val="007625CC"/>
    <w:rsid w:val="007672A5"/>
    <w:rsid w:val="007801D7"/>
    <w:rsid w:val="00791B0B"/>
    <w:rsid w:val="007A7F07"/>
    <w:rsid w:val="007B1E78"/>
    <w:rsid w:val="007B6E4D"/>
    <w:rsid w:val="007C4ECF"/>
    <w:rsid w:val="007D1678"/>
    <w:rsid w:val="007E7575"/>
    <w:rsid w:val="007F7060"/>
    <w:rsid w:val="008140AD"/>
    <w:rsid w:val="00817E59"/>
    <w:rsid w:val="00822FB2"/>
    <w:rsid w:val="00823074"/>
    <w:rsid w:val="00830270"/>
    <w:rsid w:val="0083434A"/>
    <w:rsid w:val="00840144"/>
    <w:rsid w:val="00847AEE"/>
    <w:rsid w:val="00855EA9"/>
    <w:rsid w:val="00862E2C"/>
    <w:rsid w:val="008774C0"/>
    <w:rsid w:val="008B08F4"/>
    <w:rsid w:val="008C23E0"/>
    <w:rsid w:val="008D21C7"/>
    <w:rsid w:val="008D735E"/>
    <w:rsid w:val="008E2EE9"/>
    <w:rsid w:val="008F7705"/>
    <w:rsid w:val="009057C6"/>
    <w:rsid w:val="00912440"/>
    <w:rsid w:val="00913393"/>
    <w:rsid w:val="00914CE4"/>
    <w:rsid w:val="00921873"/>
    <w:rsid w:val="00931EC3"/>
    <w:rsid w:val="00943F00"/>
    <w:rsid w:val="00954FB5"/>
    <w:rsid w:val="00957DD2"/>
    <w:rsid w:val="009734C0"/>
    <w:rsid w:val="00982A32"/>
    <w:rsid w:val="00982A69"/>
    <w:rsid w:val="009B7D36"/>
    <w:rsid w:val="009C0CF4"/>
    <w:rsid w:val="009E0C9E"/>
    <w:rsid w:val="009E26F9"/>
    <w:rsid w:val="009F3B6F"/>
    <w:rsid w:val="009F4F0D"/>
    <w:rsid w:val="00A140F0"/>
    <w:rsid w:val="00A14BB4"/>
    <w:rsid w:val="00A21E23"/>
    <w:rsid w:val="00A277FA"/>
    <w:rsid w:val="00A425A5"/>
    <w:rsid w:val="00A42CC0"/>
    <w:rsid w:val="00A558C0"/>
    <w:rsid w:val="00A67FF5"/>
    <w:rsid w:val="00A70DFB"/>
    <w:rsid w:val="00A82878"/>
    <w:rsid w:val="00A82CBE"/>
    <w:rsid w:val="00A83F0C"/>
    <w:rsid w:val="00A95196"/>
    <w:rsid w:val="00AA4C16"/>
    <w:rsid w:val="00AB058F"/>
    <w:rsid w:val="00AB0A4C"/>
    <w:rsid w:val="00AB1848"/>
    <w:rsid w:val="00AD4B8A"/>
    <w:rsid w:val="00AD4F59"/>
    <w:rsid w:val="00AF0EBF"/>
    <w:rsid w:val="00AF37F3"/>
    <w:rsid w:val="00B10448"/>
    <w:rsid w:val="00B126DA"/>
    <w:rsid w:val="00B32291"/>
    <w:rsid w:val="00B415F7"/>
    <w:rsid w:val="00B512F9"/>
    <w:rsid w:val="00B55DE7"/>
    <w:rsid w:val="00B6221C"/>
    <w:rsid w:val="00B62B9D"/>
    <w:rsid w:val="00B6527C"/>
    <w:rsid w:val="00B66979"/>
    <w:rsid w:val="00B67EC7"/>
    <w:rsid w:val="00BA0EFA"/>
    <w:rsid w:val="00BC3E7B"/>
    <w:rsid w:val="00BD2879"/>
    <w:rsid w:val="00BE2F0D"/>
    <w:rsid w:val="00C069E7"/>
    <w:rsid w:val="00C50BA4"/>
    <w:rsid w:val="00C60B41"/>
    <w:rsid w:val="00C82C0E"/>
    <w:rsid w:val="00C86A6A"/>
    <w:rsid w:val="00CA1677"/>
    <w:rsid w:val="00CA64B8"/>
    <w:rsid w:val="00CA71AA"/>
    <w:rsid w:val="00CA7A8F"/>
    <w:rsid w:val="00CB4025"/>
    <w:rsid w:val="00CC3A49"/>
    <w:rsid w:val="00CC3D2D"/>
    <w:rsid w:val="00CC65B7"/>
    <w:rsid w:val="00CE631B"/>
    <w:rsid w:val="00CF2424"/>
    <w:rsid w:val="00D03615"/>
    <w:rsid w:val="00D07BCD"/>
    <w:rsid w:val="00D10111"/>
    <w:rsid w:val="00D13B5C"/>
    <w:rsid w:val="00D145E5"/>
    <w:rsid w:val="00D42299"/>
    <w:rsid w:val="00D42749"/>
    <w:rsid w:val="00D43BDE"/>
    <w:rsid w:val="00D46D58"/>
    <w:rsid w:val="00D51BB4"/>
    <w:rsid w:val="00D52544"/>
    <w:rsid w:val="00D53F4C"/>
    <w:rsid w:val="00D603B7"/>
    <w:rsid w:val="00D61696"/>
    <w:rsid w:val="00D62ED6"/>
    <w:rsid w:val="00D77131"/>
    <w:rsid w:val="00D857A0"/>
    <w:rsid w:val="00D85F5C"/>
    <w:rsid w:val="00D93031"/>
    <w:rsid w:val="00DB5276"/>
    <w:rsid w:val="00DD2F06"/>
    <w:rsid w:val="00DD4769"/>
    <w:rsid w:val="00DD565E"/>
    <w:rsid w:val="00E20C02"/>
    <w:rsid w:val="00E21D12"/>
    <w:rsid w:val="00E43717"/>
    <w:rsid w:val="00E47E21"/>
    <w:rsid w:val="00E6787F"/>
    <w:rsid w:val="00E80057"/>
    <w:rsid w:val="00E82CEA"/>
    <w:rsid w:val="00E9124A"/>
    <w:rsid w:val="00E92666"/>
    <w:rsid w:val="00EA0872"/>
    <w:rsid w:val="00EA20E8"/>
    <w:rsid w:val="00EB1DFA"/>
    <w:rsid w:val="00EB49F7"/>
    <w:rsid w:val="00EC50EE"/>
    <w:rsid w:val="00EC5EEF"/>
    <w:rsid w:val="00EC6097"/>
    <w:rsid w:val="00ED16F4"/>
    <w:rsid w:val="00ED53A3"/>
    <w:rsid w:val="00ED6BBC"/>
    <w:rsid w:val="00EE4F40"/>
    <w:rsid w:val="00F069B2"/>
    <w:rsid w:val="00F42276"/>
    <w:rsid w:val="00F443CA"/>
    <w:rsid w:val="00F56C87"/>
    <w:rsid w:val="00F75986"/>
    <w:rsid w:val="00F861DC"/>
    <w:rsid w:val="00FB0C7F"/>
    <w:rsid w:val="00FB772F"/>
    <w:rsid w:val="00FC171D"/>
    <w:rsid w:val="00FC2C59"/>
    <w:rsid w:val="00FC42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563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3E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E75"/>
  </w:style>
  <w:style w:type="paragraph" w:styleId="Footer">
    <w:name w:val="footer"/>
    <w:basedOn w:val="Normal"/>
    <w:link w:val="FooterChar"/>
    <w:uiPriority w:val="99"/>
    <w:unhideWhenUsed/>
    <w:rsid w:val="00033E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E75"/>
  </w:style>
  <w:style w:type="paragraph" w:styleId="BalloonText">
    <w:name w:val="Balloon Text"/>
    <w:basedOn w:val="Normal"/>
    <w:link w:val="BalloonTextChar"/>
    <w:uiPriority w:val="99"/>
    <w:semiHidden/>
    <w:unhideWhenUsed/>
    <w:rsid w:val="00A70D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DFB"/>
    <w:rPr>
      <w:rFonts w:ascii="Tahoma" w:hAnsi="Tahoma" w:cs="Tahoma"/>
      <w:sz w:val="16"/>
      <w:szCs w:val="16"/>
    </w:rPr>
  </w:style>
  <w:style w:type="paragraph" w:styleId="NoSpacing">
    <w:name w:val="No Spacing"/>
    <w:uiPriority w:val="1"/>
    <w:qFormat/>
    <w:rsid w:val="00A70DFB"/>
    <w:pPr>
      <w:spacing w:after="0" w:line="240" w:lineRule="auto"/>
    </w:pPr>
  </w:style>
  <w:style w:type="character" w:styleId="Hyperlink">
    <w:name w:val="Hyperlink"/>
    <w:basedOn w:val="DefaultParagraphFont"/>
    <w:uiPriority w:val="99"/>
    <w:unhideWhenUsed/>
    <w:rsid w:val="004D6221"/>
    <w:rPr>
      <w:color w:val="0000FF" w:themeColor="hyperlink"/>
      <w:u w:val="single"/>
    </w:rPr>
  </w:style>
  <w:style w:type="paragraph" w:styleId="ListParagraph">
    <w:name w:val="List Paragraph"/>
    <w:basedOn w:val="Normal"/>
    <w:uiPriority w:val="34"/>
    <w:qFormat/>
    <w:rsid w:val="00CA1677"/>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3E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3E75"/>
  </w:style>
  <w:style w:type="paragraph" w:styleId="Footer">
    <w:name w:val="footer"/>
    <w:basedOn w:val="Normal"/>
    <w:link w:val="FooterChar"/>
    <w:uiPriority w:val="99"/>
    <w:unhideWhenUsed/>
    <w:rsid w:val="00033E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3E75"/>
  </w:style>
  <w:style w:type="paragraph" w:styleId="BalloonText">
    <w:name w:val="Balloon Text"/>
    <w:basedOn w:val="Normal"/>
    <w:link w:val="BalloonTextChar"/>
    <w:uiPriority w:val="99"/>
    <w:semiHidden/>
    <w:unhideWhenUsed/>
    <w:rsid w:val="00A70D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0DFB"/>
    <w:rPr>
      <w:rFonts w:ascii="Tahoma" w:hAnsi="Tahoma" w:cs="Tahoma"/>
      <w:sz w:val="16"/>
      <w:szCs w:val="16"/>
    </w:rPr>
  </w:style>
  <w:style w:type="paragraph" w:styleId="NoSpacing">
    <w:name w:val="No Spacing"/>
    <w:uiPriority w:val="1"/>
    <w:qFormat/>
    <w:rsid w:val="00A70DFB"/>
    <w:pPr>
      <w:spacing w:after="0" w:line="240" w:lineRule="auto"/>
    </w:pPr>
  </w:style>
  <w:style w:type="character" w:styleId="Hyperlink">
    <w:name w:val="Hyperlink"/>
    <w:basedOn w:val="DefaultParagraphFont"/>
    <w:uiPriority w:val="99"/>
    <w:unhideWhenUsed/>
    <w:rsid w:val="004D6221"/>
    <w:rPr>
      <w:color w:val="0000FF" w:themeColor="hyperlink"/>
      <w:u w:val="single"/>
    </w:rPr>
  </w:style>
  <w:style w:type="paragraph" w:styleId="ListParagraph">
    <w:name w:val="List Paragraph"/>
    <w:basedOn w:val="Normal"/>
    <w:uiPriority w:val="34"/>
    <w:qFormat/>
    <w:rsid w:val="00CA16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367091">
      <w:bodyDiv w:val="1"/>
      <w:marLeft w:val="0"/>
      <w:marRight w:val="0"/>
      <w:marTop w:val="0"/>
      <w:marBottom w:val="0"/>
      <w:divBdr>
        <w:top w:val="none" w:sz="0" w:space="0" w:color="auto"/>
        <w:left w:val="none" w:sz="0" w:space="0" w:color="auto"/>
        <w:bottom w:val="none" w:sz="0" w:space="0" w:color="auto"/>
        <w:right w:val="none" w:sz="0" w:space="0" w:color="auto"/>
      </w:divBdr>
    </w:div>
    <w:div w:id="1044209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20DV3-2150us\Desktop\Homework\Other\Templates\WRA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BC53E-762F-614F-B0C7-9FE6DB93C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\Users\HP DV3-2150us\Desktop\Homework\Other\Templates\WRAP template.dotx</Template>
  <TotalTime>1</TotalTime>
  <Pages>21</Pages>
  <Words>4247</Words>
  <Characters>21792</Characters>
  <Application>Microsoft Macintosh Word</Application>
  <DocSecurity>0</DocSecurity>
  <Lines>427</Lines>
  <Paragraphs>112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25927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2012-04-22T22:01:00Z</dcterms:created>
  <dcterms:modified xsi:type="dcterms:W3CDTF">2012-06-03T20:56:00Z</dcterms:modified>
  <cp:category/>
</cp:coreProperties>
</file>